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63ECF" w14:textId="77777777" w:rsidR="008B7728" w:rsidRDefault="00464035">
      <w:pPr>
        <w:spacing w:after="329" w:line="265" w:lineRule="auto"/>
        <w:ind w:left="10" w:right="182" w:hanging="10"/>
        <w:jc w:val="center"/>
      </w:pPr>
      <w:r>
        <w:rPr>
          <w:sz w:val="32"/>
        </w:rPr>
        <w:t>REPUBLIC OF KENYA</w:t>
      </w:r>
    </w:p>
    <w:p w14:paraId="52C4474A" w14:textId="77777777" w:rsidR="008B7728" w:rsidRDefault="00464035">
      <w:pPr>
        <w:spacing w:after="1381" w:line="259" w:lineRule="auto"/>
        <w:ind w:left="3672"/>
        <w:jc w:val="left"/>
      </w:pPr>
      <w:r>
        <w:rPr>
          <w:noProof/>
        </w:rPr>
        <w:drawing>
          <wp:inline distT="0" distB="0" distL="0" distR="0" wp14:anchorId="48477BBA" wp14:editId="796275AB">
            <wp:extent cx="1301496" cy="1173815"/>
            <wp:effectExtent l="0" t="0" r="0" b="0"/>
            <wp:docPr id="264" name="Picture 264"/>
            <wp:cNvGraphicFramePr/>
            <a:graphic xmlns:a="http://schemas.openxmlformats.org/drawingml/2006/main">
              <a:graphicData uri="http://schemas.openxmlformats.org/drawingml/2006/picture">
                <pic:pic xmlns:pic="http://schemas.openxmlformats.org/drawingml/2006/picture">
                  <pic:nvPicPr>
                    <pic:cNvPr id="264" name="Picture 264"/>
                    <pic:cNvPicPr/>
                  </pic:nvPicPr>
                  <pic:blipFill>
                    <a:blip r:embed="rId8"/>
                    <a:stretch>
                      <a:fillRect/>
                    </a:stretch>
                  </pic:blipFill>
                  <pic:spPr>
                    <a:xfrm>
                      <a:off x="0" y="0"/>
                      <a:ext cx="1301496" cy="1173815"/>
                    </a:xfrm>
                    <a:prstGeom prst="rect">
                      <a:avLst/>
                    </a:prstGeom>
                  </pic:spPr>
                </pic:pic>
              </a:graphicData>
            </a:graphic>
          </wp:inline>
        </w:drawing>
      </w:r>
    </w:p>
    <w:p w14:paraId="4EEFD5A5" w14:textId="6C3C4A53" w:rsidR="008B7728" w:rsidRDefault="00464035" w:rsidP="00B610C4">
      <w:pPr>
        <w:spacing w:after="0" w:line="265" w:lineRule="auto"/>
        <w:ind w:left="10" w:right="230" w:hanging="10"/>
        <w:jc w:val="center"/>
        <w:rPr>
          <w:sz w:val="32"/>
        </w:rPr>
      </w:pPr>
      <w:r>
        <w:rPr>
          <w:sz w:val="32"/>
        </w:rPr>
        <w:t>THE NATIONAL TREASURY</w:t>
      </w:r>
    </w:p>
    <w:p w14:paraId="7DAA0893" w14:textId="6813F20F" w:rsidR="00621CC4" w:rsidRDefault="00621CC4" w:rsidP="00B610C4">
      <w:pPr>
        <w:spacing w:after="0" w:line="265" w:lineRule="auto"/>
        <w:ind w:left="10" w:right="230" w:hanging="10"/>
        <w:jc w:val="center"/>
        <w:rPr>
          <w:sz w:val="32"/>
        </w:rPr>
      </w:pPr>
      <w:r>
        <w:rPr>
          <w:sz w:val="32"/>
        </w:rPr>
        <w:t>STATE DEPARTMENT FOR PUBLIC INVESTMENTS AND ASSETS MANAGEMENT</w:t>
      </w:r>
    </w:p>
    <w:p w14:paraId="6AE541C7" w14:textId="77777777" w:rsidR="00621CC4" w:rsidRDefault="00621CC4">
      <w:pPr>
        <w:spacing w:after="2388" w:line="265" w:lineRule="auto"/>
        <w:ind w:left="10" w:right="230" w:hanging="10"/>
        <w:jc w:val="center"/>
      </w:pPr>
    </w:p>
    <w:p w14:paraId="61E40D21" w14:textId="77777777" w:rsidR="008B7728" w:rsidRDefault="00464035">
      <w:pPr>
        <w:spacing w:after="0" w:line="265" w:lineRule="auto"/>
        <w:ind w:left="10" w:right="250" w:hanging="10"/>
        <w:jc w:val="center"/>
      </w:pPr>
      <w:r>
        <w:rPr>
          <w:sz w:val="32"/>
        </w:rPr>
        <w:t>ASSET MANAGEMENT INDICATOR GUIDELINES IN THE</w:t>
      </w:r>
    </w:p>
    <w:p w14:paraId="04D8A44D" w14:textId="77777777" w:rsidR="008B7728" w:rsidRDefault="00464035">
      <w:pPr>
        <w:spacing w:after="1" w:line="259" w:lineRule="auto"/>
        <w:ind w:left="86"/>
        <w:jc w:val="left"/>
      </w:pPr>
      <w:r>
        <w:rPr>
          <w:sz w:val="32"/>
        </w:rPr>
        <w:t>PUBLIC SECTOR PERFORMANCE CONTRACTING FOR THE FY</w:t>
      </w:r>
    </w:p>
    <w:p w14:paraId="0623D460" w14:textId="620D0A01" w:rsidR="008B7728" w:rsidRDefault="00464035">
      <w:pPr>
        <w:spacing w:after="154" w:line="265" w:lineRule="auto"/>
        <w:ind w:left="10" w:right="221" w:hanging="10"/>
        <w:jc w:val="center"/>
      </w:pPr>
      <w:r>
        <w:rPr>
          <w:sz w:val="32"/>
        </w:rPr>
        <w:t>202</w:t>
      </w:r>
      <w:r w:rsidR="00B610C4">
        <w:rPr>
          <w:sz w:val="32"/>
        </w:rPr>
        <w:t>6</w:t>
      </w:r>
      <w:r>
        <w:rPr>
          <w:sz w:val="32"/>
        </w:rPr>
        <w:t>/202</w:t>
      </w:r>
      <w:r w:rsidR="001D22AC">
        <w:rPr>
          <w:sz w:val="32"/>
        </w:rPr>
        <w:t>7</w:t>
      </w:r>
    </w:p>
    <w:p w14:paraId="27971568" w14:textId="1B7705D4" w:rsidR="008B7728" w:rsidRDefault="00464035">
      <w:pPr>
        <w:spacing w:after="4369" w:line="265" w:lineRule="auto"/>
        <w:ind w:left="10" w:right="226" w:hanging="10"/>
        <w:jc w:val="center"/>
      </w:pPr>
      <w:r>
        <w:rPr>
          <w:sz w:val="32"/>
        </w:rPr>
        <w:t>(2</w:t>
      </w:r>
      <w:r w:rsidR="001D22AC">
        <w:rPr>
          <w:sz w:val="32"/>
        </w:rPr>
        <w:t>3RD</w:t>
      </w:r>
      <w:r>
        <w:rPr>
          <w:sz w:val="32"/>
        </w:rPr>
        <w:t xml:space="preserve"> CYCLE)</w:t>
      </w:r>
    </w:p>
    <w:p w14:paraId="6A1D08E7" w14:textId="695F8303" w:rsidR="008B7728" w:rsidRDefault="008B7728">
      <w:pPr>
        <w:spacing w:after="0" w:line="259" w:lineRule="auto"/>
        <w:ind w:left="0" w:right="254"/>
        <w:jc w:val="center"/>
      </w:pPr>
    </w:p>
    <w:p w14:paraId="05EA2880" w14:textId="77777777" w:rsidR="002E00EA" w:rsidRDefault="002E00EA">
      <w:pPr>
        <w:spacing w:after="3"/>
        <w:ind w:left="206" w:right="14"/>
      </w:pPr>
    </w:p>
    <w:p w14:paraId="0AD10D0D" w14:textId="77777777" w:rsidR="002E00EA" w:rsidRDefault="002E00EA" w:rsidP="00F06636">
      <w:pPr>
        <w:spacing w:after="3"/>
        <w:ind w:left="206" w:right="14"/>
      </w:pPr>
    </w:p>
    <w:p w14:paraId="76EB62C0" w14:textId="032057B3" w:rsidR="008B7728" w:rsidRPr="00EE7FD7" w:rsidRDefault="00464035" w:rsidP="00F06636">
      <w:pPr>
        <w:spacing w:after="3"/>
        <w:ind w:left="206" w:right="14"/>
        <w:rPr>
          <w:b/>
          <w:bCs/>
        </w:rPr>
      </w:pPr>
      <w:r w:rsidRPr="00EE7FD7">
        <w:rPr>
          <w:b/>
          <w:bCs/>
        </w:rPr>
        <w:t>DEFINITIONS OF TERMS</w:t>
      </w:r>
    </w:p>
    <w:p w14:paraId="24EC4301" w14:textId="77777777" w:rsidR="002E00EA" w:rsidRDefault="002E00EA" w:rsidP="00F06636">
      <w:pPr>
        <w:spacing w:after="3"/>
        <w:ind w:left="206" w:right="14"/>
      </w:pPr>
    </w:p>
    <w:p w14:paraId="3F3861FA" w14:textId="77777777" w:rsidR="008B7728" w:rsidRDefault="00464035" w:rsidP="00F06636">
      <w:pPr>
        <w:ind w:left="206" w:right="14"/>
      </w:pPr>
      <w:r w:rsidRPr="00630B0D">
        <w:rPr>
          <w:b/>
          <w:bCs/>
        </w:rPr>
        <w:t>"Asset"</w:t>
      </w:r>
      <w:r>
        <w:t xml:space="preserve"> is a resource owned, or in some cases, controlled, by an individual or organization as a result of past events and from which future economic benefits or social benefits are expected to flow to the entity. Assets may be movable or immovable property, tangible or intangible, and include equipment, land, buildings, animals, inventory, cash and cash equivalents, receivables, investments, natural resources like wildlife and, intellectual rights vested in the state or proprietary rights.</w:t>
      </w:r>
    </w:p>
    <w:p w14:paraId="711381F8" w14:textId="77777777" w:rsidR="008B7728" w:rsidRDefault="00464035" w:rsidP="00F06636">
      <w:pPr>
        <w:ind w:left="206" w:right="14"/>
      </w:pPr>
      <w:r w:rsidRPr="00630B0D">
        <w:rPr>
          <w:b/>
          <w:bCs/>
        </w:rPr>
        <w:t xml:space="preserve">"Asset management" </w:t>
      </w:r>
      <w:r>
        <w:t>is a systematic process of planning, acquisition, operating, maintaining and disposing of assets in the most cost-effective manner including all costs, risks and performance attributes.</w:t>
      </w:r>
    </w:p>
    <w:p w14:paraId="146DF23F" w14:textId="77777777" w:rsidR="008B7728" w:rsidRDefault="00464035" w:rsidP="00F06636">
      <w:pPr>
        <w:ind w:left="206" w:right="14"/>
      </w:pPr>
      <w:r w:rsidRPr="00630B0D">
        <w:rPr>
          <w:b/>
          <w:bCs/>
        </w:rPr>
        <w:t xml:space="preserve">"Accounting officer" </w:t>
      </w:r>
      <w:r>
        <w:t>has the same meaning assigned to it in section 2 of the Public Finance Management Act, 2012.</w:t>
      </w:r>
    </w:p>
    <w:p w14:paraId="58F304C5" w14:textId="77777777" w:rsidR="008B7728" w:rsidRDefault="00464035" w:rsidP="00F06636">
      <w:pPr>
        <w:ind w:left="206" w:right="14"/>
      </w:pPr>
      <w:r>
        <w:t>"</w:t>
      </w:r>
      <w:r w:rsidRPr="00630B0D">
        <w:rPr>
          <w:b/>
          <w:bCs/>
        </w:rPr>
        <w:t>Public Sector Accounting Standards Board</w:t>
      </w:r>
      <w:r>
        <w:t>" has the same meaning assigned to it in section 2 of the Public Finance Management Act, 2012.</w:t>
      </w:r>
    </w:p>
    <w:p w14:paraId="7E0AE802" w14:textId="77777777" w:rsidR="008B7728" w:rsidRDefault="00464035" w:rsidP="00F06636">
      <w:pPr>
        <w:ind w:left="206" w:right="14"/>
      </w:pPr>
      <w:r>
        <w:t>"</w:t>
      </w:r>
      <w:r w:rsidRPr="00630B0D">
        <w:rPr>
          <w:b/>
          <w:bCs/>
        </w:rPr>
        <w:t>Cabinet Secretary</w:t>
      </w:r>
      <w:r>
        <w:t>" has the same meaning assigned to it in section 2 of the Public Finance Management Act, 2012.</w:t>
      </w:r>
    </w:p>
    <w:p w14:paraId="03738AE4" w14:textId="0999F7B8" w:rsidR="008B7728" w:rsidRDefault="00464035" w:rsidP="00F06636">
      <w:pPr>
        <w:ind w:left="206" w:right="14"/>
      </w:pPr>
      <w:r w:rsidRPr="00630B0D">
        <w:rPr>
          <w:b/>
          <w:bCs/>
        </w:rPr>
        <w:t>"National Treasury"</w:t>
      </w:r>
      <w:r>
        <w:t xml:space="preserve"> has the same meaning assigned to it in section 2 of the Public Finance Management Act, 2012</w:t>
      </w:r>
      <w:r w:rsidR="00321BA9">
        <w:t>. The</w:t>
      </w:r>
      <w:r>
        <w:t xml:space="preserve"> title of the National Treasury to be used at a point in time may take the title as provided for under executive orders issued from time to time.</w:t>
      </w:r>
    </w:p>
    <w:p w14:paraId="02A4118B" w14:textId="77777777" w:rsidR="008B7728" w:rsidRDefault="00464035" w:rsidP="00F06636">
      <w:pPr>
        <w:ind w:left="206" w:right="14" w:firstLine="72"/>
      </w:pPr>
      <w:r w:rsidRPr="00630B0D">
        <w:rPr>
          <w:b/>
          <w:bCs/>
        </w:rPr>
        <w:t xml:space="preserve">"Public entity" </w:t>
      </w:r>
      <w:r>
        <w:t>has the meaning assigned to it in section 2 of the Public Procurement and Asset Disposal Act, 2015.</w:t>
      </w:r>
    </w:p>
    <w:p w14:paraId="7F19BF49" w14:textId="77777777" w:rsidR="002E00EA" w:rsidRDefault="002E00EA" w:rsidP="0083355A">
      <w:pPr>
        <w:spacing w:after="434"/>
        <w:ind w:left="34" w:right="14"/>
        <w:jc w:val="left"/>
      </w:pPr>
    </w:p>
    <w:p w14:paraId="4BFD1140" w14:textId="77777777" w:rsidR="002E00EA" w:rsidRDefault="002E00EA" w:rsidP="0083355A">
      <w:pPr>
        <w:spacing w:after="434"/>
        <w:ind w:left="34" w:right="14"/>
        <w:jc w:val="left"/>
      </w:pPr>
    </w:p>
    <w:p w14:paraId="7630FF08" w14:textId="77777777" w:rsidR="002E00EA" w:rsidRDefault="002E00EA" w:rsidP="0083355A">
      <w:pPr>
        <w:spacing w:after="434"/>
        <w:ind w:left="34" w:right="14"/>
        <w:jc w:val="left"/>
      </w:pPr>
    </w:p>
    <w:p w14:paraId="43B4EB6F" w14:textId="77777777" w:rsidR="002E00EA" w:rsidRDefault="002E00EA" w:rsidP="0083355A">
      <w:pPr>
        <w:spacing w:after="434"/>
        <w:ind w:left="34" w:right="14"/>
        <w:jc w:val="left"/>
      </w:pPr>
    </w:p>
    <w:p w14:paraId="4D5BB0E4" w14:textId="77777777" w:rsidR="002E00EA" w:rsidRDefault="002E00EA" w:rsidP="0083355A">
      <w:pPr>
        <w:spacing w:after="434"/>
        <w:ind w:left="0" w:right="14"/>
        <w:jc w:val="left"/>
      </w:pPr>
    </w:p>
    <w:sdt>
      <w:sdtPr>
        <w:rPr>
          <w:rFonts w:ascii="Times New Roman" w:eastAsia="Times New Roman" w:hAnsi="Times New Roman" w:cs="Times New Roman"/>
          <w:color w:val="000000"/>
          <w:kern w:val="2"/>
          <w:sz w:val="26"/>
          <w:szCs w:val="24"/>
          <w14:ligatures w14:val="standardContextual"/>
        </w:rPr>
        <w:id w:val="-2011208142"/>
        <w:docPartObj>
          <w:docPartGallery w:val="Table of Contents"/>
          <w:docPartUnique/>
        </w:docPartObj>
      </w:sdtPr>
      <w:sdtEndPr>
        <w:rPr>
          <w:b/>
          <w:bCs/>
          <w:noProof/>
        </w:rPr>
      </w:sdtEndPr>
      <w:sdtContent>
        <w:p w14:paraId="0B816F31" w14:textId="6EFB91A9" w:rsidR="00FB0043" w:rsidRDefault="00FB0043">
          <w:pPr>
            <w:pStyle w:val="TOCHeading"/>
          </w:pPr>
          <w:r>
            <w:t>Contents</w:t>
          </w:r>
        </w:p>
        <w:p w14:paraId="20F3ED89" w14:textId="42E169A7" w:rsidR="0022119E" w:rsidRDefault="00FB0043">
          <w:pPr>
            <w:pStyle w:val="TOC1"/>
            <w:tabs>
              <w:tab w:val="left" w:pos="440"/>
              <w:tab w:val="right" w:leader="dot" w:pos="9571"/>
            </w:tabs>
            <w:rPr>
              <w:rFonts w:asciiTheme="minorHAnsi" w:eastAsiaTheme="minorEastAsia" w:hAnsiTheme="minorHAnsi" w:cstheme="minorBidi"/>
              <w:noProof/>
              <w:color w:val="auto"/>
              <w:sz w:val="24"/>
            </w:rPr>
          </w:pPr>
          <w:r>
            <w:fldChar w:fldCharType="begin"/>
          </w:r>
          <w:r>
            <w:instrText xml:space="preserve"> TOC \o "1-3" \h \z \u </w:instrText>
          </w:r>
          <w:r>
            <w:fldChar w:fldCharType="separate"/>
          </w:r>
          <w:hyperlink w:anchor="_Toc231820276" w:history="1">
            <w:r w:rsidR="0022119E" w:rsidRPr="00812A36">
              <w:rPr>
                <w:rStyle w:val="Hyperlink"/>
                <w:bCs/>
                <w:noProof/>
              </w:rPr>
              <w:t>1.</w:t>
            </w:r>
            <w:r w:rsidR="0022119E">
              <w:rPr>
                <w:rFonts w:asciiTheme="minorHAnsi" w:eastAsiaTheme="minorEastAsia" w:hAnsiTheme="minorHAnsi" w:cstheme="minorBidi"/>
                <w:noProof/>
                <w:color w:val="auto"/>
                <w:sz w:val="24"/>
              </w:rPr>
              <w:tab/>
            </w:r>
            <w:r w:rsidR="0022119E" w:rsidRPr="00812A36">
              <w:rPr>
                <w:rStyle w:val="Hyperlink"/>
                <w:b/>
                <w:bCs/>
                <w:noProof/>
              </w:rPr>
              <w:t>INTRODUCTION</w:t>
            </w:r>
            <w:r w:rsidR="0022119E">
              <w:rPr>
                <w:noProof/>
                <w:webHidden/>
              </w:rPr>
              <w:tab/>
            </w:r>
            <w:r w:rsidR="0022119E">
              <w:rPr>
                <w:noProof/>
                <w:webHidden/>
              </w:rPr>
              <w:fldChar w:fldCharType="begin"/>
            </w:r>
            <w:r w:rsidR="0022119E">
              <w:rPr>
                <w:noProof/>
                <w:webHidden/>
              </w:rPr>
              <w:instrText xml:space="preserve"> PAGEREF _Toc231820276 \h </w:instrText>
            </w:r>
            <w:r w:rsidR="0022119E">
              <w:rPr>
                <w:noProof/>
                <w:webHidden/>
              </w:rPr>
            </w:r>
            <w:r w:rsidR="0022119E">
              <w:rPr>
                <w:noProof/>
                <w:webHidden/>
              </w:rPr>
              <w:fldChar w:fldCharType="separate"/>
            </w:r>
            <w:r w:rsidR="00321BA9">
              <w:rPr>
                <w:noProof/>
                <w:webHidden/>
              </w:rPr>
              <w:t>4</w:t>
            </w:r>
            <w:r w:rsidR="0022119E">
              <w:rPr>
                <w:noProof/>
                <w:webHidden/>
              </w:rPr>
              <w:fldChar w:fldCharType="end"/>
            </w:r>
          </w:hyperlink>
        </w:p>
        <w:p w14:paraId="48EC58AA" w14:textId="744454A7" w:rsidR="0022119E" w:rsidRDefault="0022119E">
          <w:pPr>
            <w:pStyle w:val="TOC2"/>
            <w:tabs>
              <w:tab w:val="right" w:leader="dot" w:pos="9571"/>
            </w:tabs>
            <w:rPr>
              <w:rFonts w:cstheme="minorBidi"/>
              <w:noProof/>
              <w:kern w:val="2"/>
              <w:sz w:val="24"/>
              <w:szCs w:val="24"/>
              <w14:ligatures w14:val="standardContextual"/>
            </w:rPr>
          </w:pPr>
          <w:hyperlink w:anchor="_Toc231820277" w:history="1">
            <w:r w:rsidRPr="00812A36">
              <w:rPr>
                <w:rStyle w:val="Hyperlink"/>
                <w:b/>
                <w:bCs/>
                <w:noProof/>
              </w:rPr>
              <w:t>Asset Management Sub-indicators for FY2026-2027 Performance Contract (23</w:t>
            </w:r>
            <w:r w:rsidRPr="00812A36">
              <w:rPr>
                <w:rStyle w:val="Hyperlink"/>
                <w:b/>
                <w:bCs/>
                <w:noProof/>
                <w:vertAlign w:val="superscript"/>
              </w:rPr>
              <w:t xml:space="preserve">rd </w:t>
            </w:r>
            <w:r w:rsidRPr="00812A36">
              <w:rPr>
                <w:rStyle w:val="Hyperlink"/>
                <w:b/>
                <w:bCs/>
                <w:noProof/>
              </w:rPr>
              <w:t>Cycle)</w:t>
            </w:r>
            <w:r>
              <w:rPr>
                <w:noProof/>
                <w:webHidden/>
              </w:rPr>
              <w:tab/>
            </w:r>
            <w:r>
              <w:rPr>
                <w:noProof/>
                <w:webHidden/>
              </w:rPr>
              <w:fldChar w:fldCharType="begin"/>
            </w:r>
            <w:r>
              <w:rPr>
                <w:noProof/>
                <w:webHidden/>
              </w:rPr>
              <w:instrText xml:space="preserve"> PAGEREF _Toc231820277 \h </w:instrText>
            </w:r>
            <w:r>
              <w:rPr>
                <w:noProof/>
                <w:webHidden/>
              </w:rPr>
            </w:r>
            <w:r>
              <w:rPr>
                <w:noProof/>
                <w:webHidden/>
              </w:rPr>
              <w:fldChar w:fldCharType="separate"/>
            </w:r>
            <w:r w:rsidR="00321BA9">
              <w:rPr>
                <w:noProof/>
                <w:webHidden/>
              </w:rPr>
              <w:t>4</w:t>
            </w:r>
            <w:r>
              <w:rPr>
                <w:noProof/>
                <w:webHidden/>
              </w:rPr>
              <w:fldChar w:fldCharType="end"/>
            </w:r>
          </w:hyperlink>
        </w:p>
        <w:p w14:paraId="2E125EEE" w14:textId="01DA7DCD" w:rsidR="0022119E" w:rsidRDefault="0022119E">
          <w:pPr>
            <w:pStyle w:val="TOC1"/>
            <w:tabs>
              <w:tab w:val="left" w:pos="440"/>
              <w:tab w:val="right" w:leader="dot" w:pos="9571"/>
            </w:tabs>
            <w:rPr>
              <w:rFonts w:asciiTheme="minorHAnsi" w:eastAsiaTheme="minorEastAsia" w:hAnsiTheme="minorHAnsi" w:cstheme="minorBidi"/>
              <w:noProof/>
              <w:color w:val="auto"/>
              <w:sz w:val="24"/>
            </w:rPr>
          </w:pPr>
          <w:hyperlink w:anchor="_Toc231820278" w:history="1">
            <w:r w:rsidRPr="00812A36">
              <w:rPr>
                <w:rStyle w:val="Hyperlink"/>
                <w:bCs/>
                <w:noProof/>
              </w:rPr>
              <w:t>2.</w:t>
            </w:r>
            <w:r>
              <w:rPr>
                <w:rFonts w:asciiTheme="minorHAnsi" w:eastAsiaTheme="minorEastAsia" w:hAnsiTheme="minorHAnsi" w:cstheme="minorBidi"/>
                <w:noProof/>
                <w:color w:val="auto"/>
                <w:sz w:val="24"/>
              </w:rPr>
              <w:tab/>
            </w:r>
            <w:r w:rsidRPr="00812A36">
              <w:rPr>
                <w:rStyle w:val="Hyperlink"/>
                <w:b/>
                <w:bCs/>
                <w:noProof/>
              </w:rPr>
              <w:t>EVALUATION</w:t>
            </w:r>
            <w:r>
              <w:rPr>
                <w:noProof/>
                <w:webHidden/>
              </w:rPr>
              <w:tab/>
            </w:r>
            <w:r>
              <w:rPr>
                <w:noProof/>
                <w:webHidden/>
              </w:rPr>
              <w:fldChar w:fldCharType="begin"/>
            </w:r>
            <w:r>
              <w:rPr>
                <w:noProof/>
                <w:webHidden/>
              </w:rPr>
              <w:instrText xml:space="preserve"> PAGEREF _Toc231820278 \h </w:instrText>
            </w:r>
            <w:r>
              <w:rPr>
                <w:noProof/>
                <w:webHidden/>
              </w:rPr>
            </w:r>
            <w:r>
              <w:rPr>
                <w:noProof/>
                <w:webHidden/>
              </w:rPr>
              <w:fldChar w:fldCharType="separate"/>
            </w:r>
            <w:r w:rsidR="00321BA9">
              <w:rPr>
                <w:noProof/>
                <w:webHidden/>
              </w:rPr>
              <w:t>4</w:t>
            </w:r>
            <w:r>
              <w:rPr>
                <w:noProof/>
                <w:webHidden/>
              </w:rPr>
              <w:fldChar w:fldCharType="end"/>
            </w:r>
          </w:hyperlink>
        </w:p>
        <w:p w14:paraId="11D09CE4" w14:textId="7169430D" w:rsidR="0022119E" w:rsidRDefault="0022119E">
          <w:pPr>
            <w:pStyle w:val="TOC1"/>
            <w:tabs>
              <w:tab w:val="left" w:pos="440"/>
              <w:tab w:val="right" w:leader="dot" w:pos="9571"/>
            </w:tabs>
            <w:rPr>
              <w:rFonts w:asciiTheme="minorHAnsi" w:eastAsiaTheme="minorEastAsia" w:hAnsiTheme="minorHAnsi" w:cstheme="minorBidi"/>
              <w:noProof/>
              <w:color w:val="auto"/>
              <w:sz w:val="24"/>
            </w:rPr>
          </w:pPr>
          <w:hyperlink w:anchor="_Toc231820279" w:history="1">
            <w:r w:rsidRPr="00812A36">
              <w:rPr>
                <w:rStyle w:val="Hyperlink"/>
                <w:bCs/>
                <w:noProof/>
              </w:rPr>
              <w:t>3.</w:t>
            </w:r>
            <w:r>
              <w:rPr>
                <w:rFonts w:asciiTheme="minorHAnsi" w:eastAsiaTheme="minorEastAsia" w:hAnsiTheme="minorHAnsi" w:cstheme="minorBidi"/>
                <w:noProof/>
                <w:color w:val="auto"/>
                <w:sz w:val="24"/>
              </w:rPr>
              <w:tab/>
            </w:r>
            <w:r w:rsidRPr="00812A36">
              <w:rPr>
                <w:rStyle w:val="Hyperlink"/>
                <w:b/>
                <w:bCs/>
                <w:noProof/>
              </w:rPr>
              <w:t>GUIDELINES TO THE ACTIVITIES TO ASSIST IN ACHIEVING THE INDICATOR</w:t>
            </w:r>
            <w:r>
              <w:rPr>
                <w:noProof/>
                <w:webHidden/>
              </w:rPr>
              <w:tab/>
            </w:r>
            <w:r>
              <w:rPr>
                <w:noProof/>
                <w:webHidden/>
              </w:rPr>
              <w:fldChar w:fldCharType="begin"/>
            </w:r>
            <w:r>
              <w:rPr>
                <w:noProof/>
                <w:webHidden/>
              </w:rPr>
              <w:instrText xml:space="preserve"> PAGEREF _Toc231820279 \h </w:instrText>
            </w:r>
            <w:r>
              <w:rPr>
                <w:noProof/>
                <w:webHidden/>
              </w:rPr>
            </w:r>
            <w:r>
              <w:rPr>
                <w:noProof/>
                <w:webHidden/>
              </w:rPr>
              <w:fldChar w:fldCharType="separate"/>
            </w:r>
            <w:r w:rsidR="00321BA9">
              <w:rPr>
                <w:noProof/>
                <w:webHidden/>
              </w:rPr>
              <w:t>4</w:t>
            </w:r>
            <w:r>
              <w:rPr>
                <w:noProof/>
                <w:webHidden/>
              </w:rPr>
              <w:fldChar w:fldCharType="end"/>
            </w:r>
          </w:hyperlink>
        </w:p>
        <w:p w14:paraId="0B1F94CC" w14:textId="679B2FC6" w:rsidR="0022119E" w:rsidRDefault="0022119E">
          <w:pPr>
            <w:pStyle w:val="TOC2"/>
            <w:tabs>
              <w:tab w:val="left" w:pos="720"/>
              <w:tab w:val="right" w:leader="dot" w:pos="9571"/>
            </w:tabs>
            <w:rPr>
              <w:rFonts w:cstheme="minorBidi"/>
              <w:noProof/>
              <w:kern w:val="2"/>
              <w:sz w:val="24"/>
              <w:szCs w:val="24"/>
              <w14:ligatures w14:val="standardContextual"/>
            </w:rPr>
          </w:pPr>
          <w:hyperlink w:anchor="_Toc231820280" w:history="1">
            <w:r w:rsidRPr="00812A36">
              <w:rPr>
                <w:rStyle w:val="Hyperlink"/>
                <w:b/>
                <w:bCs/>
                <w:noProof/>
              </w:rPr>
              <w:t>b.</w:t>
            </w:r>
            <w:r>
              <w:rPr>
                <w:rFonts w:cstheme="minorBidi"/>
                <w:noProof/>
                <w:kern w:val="2"/>
                <w:sz w:val="24"/>
                <w:szCs w:val="24"/>
                <w14:ligatures w14:val="standardContextual"/>
              </w:rPr>
              <w:tab/>
            </w:r>
            <w:r w:rsidRPr="00812A36">
              <w:rPr>
                <w:rStyle w:val="Hyperlink"/>
                <w:b/>
                <w:bCs/>
                <w:noProof/>
              </w:rPr>
              <w:t>Verified and updated Asset Register maintained (30%)</w:t>
            </w:r>
            <w:r>
              <w:rPr>
                <w:noProof/>
                <w:webHidden/>
              </w:rPr>
              <w:tab/>
            </w:r>
            <w:r>
              <w:rPr>
                <w:noProof/>
                <w:webHidden/>
              </w:rPr>
              <w:fldChar w:fldCharType="begin"/>
            </w:r>
            <w:r>
              <w:rPr>
                <w:noProof/>
                <w:webHidden/>
              </w:rPr>
              <w:instrText xml:space="preserve"> PAGEREF _Toc231820280 \h </w:instrText>
            </w:r>
            <w:r>
              <w:rPr>
                <w:noProof/>
                <w:webHidden/>
              </w:rPr>
            </w:r>
            <w:r>
              <w:rPr>
                <w:noProof/>
                <w:webHidden/>
              </w:rPr>
              <w:fldChar w:fldCharType="separate"/>
            </w:r>
            <w:r w:rsidR="00321BA9">
              <w:rPr>
                <w:noProof/>
                <w:webHidden/>
              </w:rPr>
              <w:t>5</w:t>
            </w:r>
            <w:r>
              <w:rPr>
                <w:noProof/>
                <w:webHidden/>
              </w:rPr>
              <w:fldChar w:fldCharType="end"/>
            </w:r>
          </w:hyperlink>
        </w:p>
        <w:p w14:paraId="559C11E7" w14:textId="49D65656" w:rsidR="0022119E" w:rsidRDefault="0022119E">
          <w:pPr>
            <w:pStyle w:val="TOC2"/>
            <w:tabs>
              <w:tab w:val="left" w:pos="720"/>
              <w:tab w:val="right" w:leader="dot" w:pos="9571"/>
            </w:tabs>
            <w:rPr>
              <w:rFonts w:cstheme="minorBidi"/>
              <w:noProof/>
              <w:kern w:val="2"/>
              <w:sz w:val="24"/>
              <w:szCs w:val="24"/>
              <w14:ligatures w14:val="standardContextual"/>
            </w:rPr>
          </w:pPr>
          <w:hyperlink w:anchor="_Toc231820281" w:history="1">
            <w:r w:rsidRPr="00812A36">
              <w:rPr>
                <w:rStyle w:val="Hyperlink"/>
                <w:b/>
                <w:bCs/>
                <w:noProof/>
              </w:rPr>
              <w:t>c.</w:t>
            </w:r>
            <w:r>
              <w:rPr>
                <w:rFonts w:cstheme="minorBidi"/>
                <w:noProof/>
                <w:kern w:val="2"/>
                <w:sz w:val="24"/>
                <w:szCs w:val="24"/>
                <w14:ligatures w14:val="standardContextual"/>
              </w:rPr>
              <w:tab/>
            </w:r>
            <w:r w:rsidRPr="00812A36">
              <w:rPr>
                <w:rStyle w:val="Hyperlink"/>
                <w:b/>
                <w:bCs/>
                <w:noProof/>
              </w:rPr>
              <w:t>Asset’s ownership documents maintained (30%)</w:t>
            </w:r>
            <w:r>
              <w:rPr>
                <w:noProof/>
                <w:webHidden/>
              </w:rPr>
              <w:tab/>
            </w:r>
            <w:r>
              <w:rPr>
                <w:noProof/>
                <w:webHidden/>
              </w:rPr>
              <w:fldChar w:fldCharType="begin"/>
            </w:r>
            <w:r>
              <w:rPr>
                <w:noProof/>
                <w:webHidden/>
              </w:rPr>
              <w:instrText xml:space="preserve"> PAGEREF _Toc231820281 \h </w:instrText>
            </w:r>
            <w:r>
              <w:rPr>
                <w:noProof/>
                <w:webHidden/>
              </w:rPr>
            </w:r>
            <w:r>
              <w:rPr>
                <w:noProof/>
                <w:webHidden/>
              </w:rPr>
              <w:fldChar w:fldCharType="separate"/>
            </w:r>
            <w:r w:rsidR="00321BA9">
              <w:rPr>
                <w:noProof/>
                <w:webHidden/>
              </w:rPr>
              <w:t>5</w:t>
            </w:r>
            <w:r>
              <w:rPr>
                <w:noProof/>
                <w:webHidden/>
              </w:rPr>
              <w:fldChar w:fldCharType="end"/>
            </w:r>
          </w:hyperlink>
        </w:p>
        <w:p w14:paraId="5F67A2CF" w14:textId="24A6F8AB" w:rsidR="0022119E" w:rsidRDefault="0022119E">
          <w:pPr>
            <w:pStyle w:val="TOC2"/>
            <w:tabs>
              <w:tab w:val="left" w:pos="720"/>
              <w:tab w:val="right" w:leader="dot" w:pos="9571"/>
            </w:tabs>
            <w:rPr>
              <w:rFonts w:cstheme="minorBidi"/>
              <w:noProof/>
              <w:kern w:val="2"/>
              <w:sz w:val="24"/>
              <w:szCs w:val="24"/>
              <w14:ligatures w14:val="standardContextual"/>
            </w:rPr>
          </w:pPr>
          <w:hyperlink w:anchor="_Toc231820282" w:history="1">
            <w:r w:rsidRPr="00812A36">
              <w:rPr>
                <w:rStyle w:val="Hyperlink"/>
                <w:b/>
                <w:bCs/>
                <w:noProof/>
              </w:rPr>
              <w:t>d.</w:t>
            </w:r>
            <w:r>
              <w:rPr>
                <w:rFonts w:cstheme="minorBidi"/>
                <w:noProof/>
                <w:kern w:val="2"/>
                <w:sz w:val="24"/>
                <w:szCs w:val="24"/>
                <w14:ligatures w14:val="standardContextual"/>
              </w:rPr>
              <w:tab/>
            </w:r>
            <w:r w:rsidRPr="00812A36">
              <w:rPr>
                <w:rStyle w:val="Hyperlink"/>
                <w:b/>
                <w:bCs/>
                <w:noProof/>
              </w:rPr>
              <w:t>Idle Assets disposed. (40%)</w:t>
            </w:r>
            <w:r>
              <w:rPr>
                <w:noProof/>
                <w:webHidden/>
              </w:rPr>
              <w:tab/>
            </w:r>
            <w:r>
              <w:rPr>
                <w:noProof/>
                <w:webHidden/>
              </w:rPr>
              <w:fldChar w:fldCharType="begin"/>
            </w:r>
            <w:r>
              <w:rPr>
                <w:noProof/>
                <w:webHidden/>
              </w:rPr>
              <w:instrText xml:space="preserve"> PAGEREF _Toc231820282 \h </w:instrText>
            </w:r>
            <w:r>
              <w:rPr>
                <w:noProof/>
                <w:webHidden/>
              </w:rPr>
            </w:r>
            <w:r>
              <w:rPr>
                <w:noProof/>
                <w:webHidden/>
              </w:rPr>
              <w:fldChar w:fldCharType="separate"/>
            </w:r>
            <w:r w:rsidR="00321BA9">
              <w:rPr>
                <w:noProof/>
                <w:webHidden/>
              </w:rPr>
              <w:t>6</w:t>
            </w:r>
            <w:r>
              <w:rPr>
                <w:noProof/>
                <w:webHidden/>
              </w:rPr>
              <w:fldChar w:fldCharType="end"/>
            </w:r>
          </w:hyperlink>
        </w:p>
        <w:p w14:paraId="25DDBB83" w14:textId="3DF70E38" w:rsidR="0022119E" w:rsidRDefault="0022119E">
          <w:pPr>
            <w:pStyle w:val="TOC2"/>
            <w:tabs>
              <w:tab w:val="left" w:pos="720"/>
              <w:tab w:val="right" w:leader="dot" w:pos="9571"/>
            </w:tabs>
            <w:rPr>
              <w:rFonts w:cstheme="minorBidi"/>
              <w:noProof/>
              <w:kern w:val="2"/>
              <w:sz w:val="24"/>
              <w:szCs w:val="24"/>
              <w14:ligatures w14:val="standardContextual"/>
            </w:rPr>
          </w:pPr>
          <w:hyperlink w:anchor="_Toc231820283" w:history="1">
            <w:r w:rsidRPr="00812A36">
              <w:rPr>
                <w:rStyle w:val="Hyperlink"/>
                <w:b/>
                <w:bCs/>
                <w:noProof/>
              </w:rPr>
              <w:t>e.</w:t>
            </w:r>
            <w:r>
              <w:rPr>
                <w:rFonts w:cstheme="minorBidi"/>
                <w:noProof/>
                <w:kern w:val="2"/>
                <w:sz w:val="24"/>
                <w:szCs w:val="24"/>
                <w14:ligatures w14:val="standardContextual"/>
              </w:rPr>
              <w:tab/>
            </w:r>
            <w:r w:rsidRPr="00812A36">
              <w:rPr>
                <w:rStyle w:val="Hyperlink"/>
                <w:b/>
                <w:bCs/>
                <w:noProof/>
              </w:rPr>
              <w:t>Reporting Timelines</w:t>
            </w:r>
            <w:r>
              <w:rPr>
                <w:noProof/>
                <w:webHidden/>
              </w:rPr>
              <w:tab/>
            </w:r>
            <w:r>
              <w:rPr>
                <w:noProof/>
                <w:webHidden/>
              </w:rPr>
              <w:fldChar w:fldCharType="begin"/>
            </w:r>
            <w:r>
              <w:rPr>
                <w:noProof/>
                <w:webHidden/>
              </w:rPr>
              <w:instrText xml:space="preserve"> PAGEREF _Toc231820283 \h </w:instrText>
            </w:r>
            <w:r>
              <w:rPr>
                <w:noProof/>
                <w:webHidden/>
              </w:rPr>
            </w:r>
            <w:r>
              <w:rPr>
                <w:noProof/>
                <w:webHidden/>
              </w:rPr>
              <w:fldChar w:fldCharType="separate"/>
            </w:r>
            <w:r w:rsidR="00321BA9">
              <w:rPr>
                <w:noProof/>
                <w:webHidden/>
              </w:rPr>
              <w:t>6</w:t>
            </w:r>
            <w:r>
              <w:rPr>
                <w:noProof/>
                <w:webHidden/>
              </w:rPr>
              <w:fldChar w:fldCharType="end"/>
            </w:r>
          </w:hyperlink>
        </w:p>
        <w:p w14:paraId="466F6209" w14:textId="1566B6BC" w:rsidR="0022119E" w:rsidRDefault="0022119E">
          <w:pPr>
            <w:pStyle w:val="TOC1"/>
            <w:tabs>
              <w:tab w:val="left" w:pos="440"/>
              <w:tab w:val="right" w:leader="dot" w:pos="9571"/>
            </w:tabs>
            <w:rPr>
              <w:rFonts w:asciiTheme="minorHAnsi" w:eastAsiaTheme="minorEastAsia" w:hAnsiTheme="minorHAnsi" w:cstheme="minorBidi"/>
              <w:noProof/>
              <w:color w:val="auto"/>
              <w:sz w:val="24"/>
            </w:rPr>
          </w:pPr>
          <w:hyperlink w:anchor="_Toc231820284" w:history="1">
            <w:r w:rsidRPr="00812A36">
              <w:rPr>
                <w:rStyle w:val="Hyperlink"/>
                <w:bCs/>
                <w:noProof/>
              </w:rPr>
              <w:t>4.</w:t>
            </w:r>
            <w:r>
              <w:rPr>
                <w:rFonts w:asciiTheme="minorHAnsi" w:eastAsiaTheme="minorEastAsia" w:hAnsiTheme="minorHAnsi" w:cstheme="minorBidi"/>
                <w:noProof/>
                <w:color w:val="auto"/>
                <w:sz w:val="24"/>
              </w:rPr>
              <w:tab/>
            </w:r>
            <w:r w:rsidRPr="00812A36">
              <w:rPr>
                <w:rStyle w:val="Hyperlink"/>
                <w:b/>
                <w:bCs/>
                <w:noProof/>
              </w:rPr>
              <w:t>EVALUATION CRITERIA</w:t>
            </w:r>
            <w:r>
              <w:rPr>
                <w:noProof/>
                <w:webHidden/>
              </w:rPr>
              <w:tab/>
            </w:r>
            <w:r>
              <w:rPr>
                <w:noProof/>
                <w:webHidden/>
              </w:rPr>
              <w:fldChar w:fldCharType="begin"/>
            </w:r>
            <w:r>
              <w:rPr>
                <w:noProof/>
                <w:webHidden/>
              </w:rPr>
              <w:instrText xml:space="preserve"> PAGEREF _Toc231820284 \h </w:instrText>
            </w:r>
            <w:r>
              <w:rPr>
                <w:noProof/>
                <w:webHidden/>
              </w:rPr>
            </w:r>
            <w:r>
              <w:rPr>
                <w:noProof/>
                <w:webHidden/>
              </w:rPr>
              <w:fldChar w:fldCharType="separate"/>
            </w:r>
            <w:r w:rsidR="00321BA9">
              <w:rPr>
                <w:noProof/>
                <w:webHidden/>
              </w:rPr>
              <w:t>7</w:t>
            </w:r>
            <w:r>
              <w:rPr>
                <w:noProof/>
                <w:webHidden/>
              </w:rPr>
              <w:fldChar w:fldCharType="end"/>
            </w:r>
          </w:hyperlink>
        </w:p>
        <w:p w14:paraId="7F936504" w14:textId="3A10DE1E" w:rsidR="00FB0043" w:rsidRDefault="00FB0043">
          <w:r>
            <w:rPr>
              <w:b/>
              <w:bCs/>
              <w:noProof/>
            </w:rPr>
            <w:fldChar w:fldCharType="end"/>
          </w:r>
        </w:p>
      </w:sdtContent>
    </w:sdt>
    <w:p w14:paraId="335E5A31" w14:textId="77777777" w:rsidR="002E00EA" w:rsidRDefault="002E00EA" w:rsidP="0083355A">
      <w:pPr>
        <w:spacing w:after="434"/>
        <w:ind w:left="34" w:right="14"/>
        <w:jc w:val="left"/>
      </w:pPr>
    </w:p>
    <w:p w14:paraId="6BCF8689" w14:textId="343E197C" w:rsidR="008B7728" w:rsidRDefault="00464035" w:rsidP="00F06636">
      <w:pPr>
        <w:spacing w:after="131" w:line="259" w:lineRule="auto"/>
        <w:ind w:left="-5" w:hanging="10"/>
      </w:pPr>
      <w:r>
        <w:br w:type="page"/>
      </w:r>
    </w:p>
    <w:p w14:paraId="13693693" w14:textId="77777777" w:rsidR="008B7728" w:rsidRPr="009B285C" w:rsidRDefault="00464035" w:rsidP="00E83137">
      <w:pPr>
        <w:pStyle w:val="Heading1"/>
        <w:ind w:left="0"/>
        <w:rPr>
          <w:b/>
          <w:bCs/>
        </w:rPr>
      </w:pPr>
      <w:bookmarkStart w:id="0" w:name="_Toc231820276"/>
      <w:r w:rsidRPr="009B285C">
        <w:rPr>
          <w:b/>
          <w:bCs/>
        </w:rPr>
        <w:lastRenderedPageBreak/>
        <w:t>INTRODUCTION</w:t>
      </w:r>
      <w:bookmarkEnd w:id="0"/>
    </w:p>
    <w:p w14:paraId="465F622B" w14:textId="3FBE5F04" w:rsidR="008B7728" w:rsidRDefault="00464035" w:rsidP="00E83137">
      <w:pPr>
        <w:spacing w:after="208"/>
        <w:ind w:left="90" w:right="14"/>
      </w:pPr>
      <w:r>
        <w:t>These guidelines are intended to provide guidance on the implementation of the asset management indicator for FY202</w:t>
      </w:r>
      <w:r w:rsidR="00EB1F49">
        <w:t>6</w:t>
      </w:r>
      <w:r>
        <w:t>-202</w:t>
      </w:r>
      <w:r w:rsidR="00EB1F49">
        <w:t>7</w:t>
      </w:r>
      <w:r>
        <w:t xml:space="preserve"> Performance Contract (2</w:t>
      </w:r>
      <w:r w:rsidR="00EB1F49">
        <w:t>3</w:t>
      </w:r>
      <w:r w:rsidR="00EB1F49">
        <w:rPr>
          <w:vertAlign w:val="superscript"/>
        </w:rPr>
        <w:t>rd</w:t>
      </w:r>
      <w:r>
        <w:rPr>
          <w:vertAlign w:val="superscript"/>
        </w:rPr>
        <w:t xml:space="preserve"> </w:t>
      </w:r>
      <w:r>
        <w:t>Cycle) and facilitate Ministries, Departments and Agencies (MDAs) in undertaking and reporting on asset management activities for the fiscal year 202</w:t>
      </w:r>
      <w:r w:rsidR="00EB1F49">
        <w:t>6</w:t>
      </w:r>
      <w:r>
        <w:t>-202</w:t>
      </w:r>
      <w:r w:rsidR="00EB1F49">
        <w:t>7</w:t>
      </w:r>
      <w:r>
        <w:t>.</w:t>
      </w:r>
    </w:p>
    <w:p w14:paraId="5445F15F" w14:textId="7FD6A04E" w:rsidR="008B7728" w:rsidRPr="00A27861" w:rsidRDefault="00464035" w:rsidP="00965DD2">
      <w:pPr>
        <w:pStyle w:val="Heading2"/>
        <w:rPr>
          <w:b/>
          <w:bCs/>
        </w:rPr>
      </w:pPr>
      <w:bookmarkStart w:id="1" w:name="_Toc231820277"/>
      <w:r w:rsidRPr="00A27861">
        <w:rPr>
          <w:b/>
          <w:bCs/>
        </w:rPr>
        <w:t>Asset Management Sub-indicators for FY202</w:t>
      </w:r>
      <w:r w:rsidR="00EA3ED1" w:rsidRPr="00A27861">
        <w:rPr>
          <w:b/>
          <w:bCs/>
        </w:rPr>
        <w:t>6</w:t>
      </w:r>
      <w:r w:rsidRPr="00A27861">
        <w:rPr>
          <w:b/>
          <w:bCs/>
        </w:rPr>
        <w:t>-202</w:t>
      </w:r>
      <w:r w:rsidR="00EA3ED1" w:rsidRPr="00A27861">
        <w:rPr>
          <w:b/>
          <w:bCs/>
        </w:rPr>
        <w:t>7</w:t>
      </w:r>
      <w:r w:rsidRPr="00A27861">
        <w:rPr>
          <w:b/>
          <w:bCs/>
        </w:rPr>
        <w:t xml:space="preserve"> Performance Contract (2</w:t>
      </w:r>
      <w:r w:rsidR="00EB1F49" w:rsidRPr="00A27861">
        <w:rPr>
          <w:b/>
          <w:bCs/>
        </w:rPr>
        <w:t>3</w:t>
      </w:r>
      <w:r w:rsidR="00F24EB1" w:rsidRPr="00A27861">
        <w:rPr>
          <w:b/>
          <w:bCs/>
          <w:vertAlign w:val="superscript"/>
        </w:rPr>
        <w:t xml:space="preserve">rd </w:t>
      </w:r>
      <w:r w:rsidRPr="00A27861">
        <w:rPr>
          <w:b/>
          <w:bCs/>
        </w:rPr>
        <w:t>Cycle)</w:t>
      </w:r>
      <w:bookmarkEnd w:id="1"/>
    </w:p>
    <w:p w14:paraId="1A49BCFB" w14:textId="3F3BDB82" w:rsidR="008B7728" w:rsidRDefault="00464035" w:rsidP="00F06636">
      <w:pPr>
        <w:ind w:left="206" w:right="14"/>
      </w:pPr>
      <w:r>
        <w:t>In the 2</w:t>
      </w:r>
      <w:r w:rsidR="00EA3ED1">
        <w:t>3</w:t>
      </w:r>
      <w:r w:rsidR="00EA3ED1">
        <w:rPr>
          <w:vertAlign w:val="superscript"/>
        </w:rPr>
        <w:t xml:space="preserve">rd </w:t>
      </w:r>
      <w:r>
        <w:t>Cycle Performance Contract, MDAs are required to ensure the following:</w:t>
      </w:r>
    </w:p>
    <w:p w14:paraId="19E39924" w14:textId="77777777" w:rsidR="008B7728" w:rsidRDefault="00464035" w:rsidP="00F06636">
      <w:pPr>
        <w:numPr>
          <w:ilvl w:val="0"/>
          <w:numId w:val="3"/>
        </w:numPr>
        <w:spacing w:after="8"/>
        <w:ind w:right="14" w:hanging="355"/>
      </w:pPr>
      <w:r>
        <w:t>Verified and updated Asset Register maintained using the prescribed reporting templates issued by the National Treasury;</w:t>
      </w:r>
    </w:p>
    <w:p w14:paraId="4B76B725" w14:textId="4CF00C2F" w:rsidR="008B7728" w:rsidRDefault="00464035" w:rsidP="00F06636">
      <w:pPr>
        <w:numPr>
          <w:ilvl w:val="0"/>
          <w:numId w:val="3"/>
        </w:numPr>
        <w:spacing w:after="9"/>
        <w:ind w:right="14" w:hanging="355"/>
      </w:pPr>
      <w:r>
        <w:t xml:space="preserve">Assets ownership documents maintained for ALL assets and submit soft copies of ownership documents for Land, Buildings and Motor Vehicles to The National Treasury via email </w:t>
      </w:r>
      <w:r>
        <w:rPr>
          <w:u w:val="single" w:color="000000"/>
        </w:rPr>
        <w:t>nalm@</w:t>
      </w:r>
      <w:r w:rsidR="00832322">
        <w:rPr>
          <w:u w:val="single" w:color="000000"/>
        </w:rPr>
        <w:t>t</w:t>
      </w:r>
      <w:r>
        <w:rPr>
          <w:u w:val="single" w:color="000000"/>
        </w:rPr>
        <w:t>reasur</w:t>
      </w:r>
      <w:r w:rsidR="00832322">
        <w:rPr>
          <w:u w:val="single" w:color="000000"/>
        </w:rPr>
        <w:t>y</w:t>
      </w:r>
      <w:r>
        <w:rPr>
          <w:u w:val="single" w:color="000000"/>
        </w:rPr>
        <w:t>.go.ke</w:t>
      </w:r>
      <w:r>
        <w:t xml:space="preserve"> to support ownership.</w:t>
      </w:r>
    </w:p>
    <w:p w14:paraId="245CE1B5" w14:textId="5C7A6A55" w:rsidR="008B7728" w:rsidRDefault="00464035" w:rsidP="0098474E">
      <w:pPr>
        <w:numPr>
          <w:ilvl w:val="0"/>
          <w:numId w:val="3"/>
        </w:numPr>
        <w:spacing w:after="0"/>
        <w:ind w:right="14" w:hanging="355"/>
      </w:pPr>
      <w:r>
        <w:t xml:space="preserve">Idle Assets disposed. Ensure disposal of idle, unserviceable, obsolete and surplus assets by way of either sale, transfer to other public institutions, destruction, donation or any other authorized methods of assets disposal, and in all cases, in full </w:t>
      </w:r>
      <w:r w:rsidR="00C3017C">
        <w:t>compliance</w:t>
      </w:r>
      <w:r>
        <w:t xml:space="preserve"> </w:t>
      </w:r>
      <w:r w:rsidR="00C3017C">
        <w:t>with</w:t>
      </w:r>
      <w:r>
        <w:t xml:space="preserve"> the existing legal requirements.</w:t>
      </w:r>
    </w:p>
    <w:p w14:paraId="48DCAF86" w14:textId="77777777" w:rsidR="0098474E" w:rsidRDefault="0098474E" w:rsidP="0098474E">
      <w:pPr>
        <w:spacing w:after="0"/>
        <w:ind w:left="557" w:right="14"/>
      </w:pPr>
    </w:p>
    <w:p w14:paraId="1A4B9960" w14:textId="38F04622" w:rsidR="008B7728" w:rsidRPr="009B285C" w:rsidRDefault="003A2B13" w:rsidP="0098474E">
      <w:pPr>
        <w:pStyle w:val="Heading1"/>
        <w:spacing w:after="0"/>
        <w:ind w:left="90"/>
        <w:rPr>
          <w:b/>
          <w:bCs/>
        </w:rPr>
      </w:pPr>
      <w:bookmarkStart w:id="2" w:name="_Toc231820278"/>
      <w:r w:rsidRPr="009B285C">
        <w:rPr>
          <w:b/>
          <w:bCs/>
        </w:rPr>
        <w:t>EVALUATION</w:t>
      </w:r>
      <w:bookmarkEnd w:id="2"/>
    </w:p>
    <w:p w14:paraId="3750DCE1" w14:textId="77777777" w:rsidR="009B2911" w:rsidRPr="009B2911" w:rsidRDefault="009B2911" w:rsidP="00F06636">
      <w:pPr>
        <w:spacing w:after="0"/>
        <w:rPr>
          <w:sz w:val="8"/>
          <w:szCs w:val="8"/>
        </w:rPr>
      </w:pPr>
    </w:p>
    <w:p w14:paraId="49A0380B" w14:textId="34B5C676" w:rsidR="008B7728" w:rsidRDefault="00CC4C9B" w:rsidP="00F06636">
      <w:pPr>
        <w:spacing w:after="0"/>
      </w:pPr>
      <w:r w:rsidRPr="00CC4C9B">
        <w:t xml:space="preserve">All </w:t>
      </w:r>
      <w:r w:rsidR="00C3017C">
        <w:t xml:space="preserve">Principal Secretaries/Accounting Officers of </w:t>
      </w:r>
      <w:r w:rsidRPr="00CC4C9B">
        <w:t>MDAs are required to submit quarterly and annual performance reports to the National Treasury using the prescribed reporting format</w:t>
      </w:r>
      <w:r w:rsidR="00C3017C">
        <w:t xml:space="preserve"> on or before the 15</w:t>
      </w:r>
      <w:r w:rsidR="00C3017C" w:rsidRPr="00C3017C">
        <w:rPr>
          <w:vertAlign w:val="superscript"/>
        </w:rPr>
        <w:t>th</w:t>
      </w:r>
      <w:r w:rsidR="00C3017C">
        <w:t xml:space="preserve"> day after the end of the preceding quarter</w:t>
      </w:r>
      <w:r w:rsidRPr="00CC4C9B">
        <w:t>. The</w:t>
      </w:r>
      <w:r w:rsidR="00E00273">
        <w:t xml:space="preserve"> </w:t>
      </w:r>
      <w:r w:rsidR="00775DC4">
        <w:t xml:space="preserve">State Department for </w:t>
      </w:r>
      <w:r w:rsidR="00C3017C">
        <w:t>Public</w:t>
      </w:r>
      <w:r w:rsidR="00775DC4">
        <w:t xml:space="preserve"> Investments and Assets Management</w:t>
      </w:r>
      <w:r w:rsidRPr="00CC4C9B">
        <w:t xml:space="preserve"> will evaluate the quarterly and annual performance of MDAs </w:t>
      </w:r>
      <w:r w:rsidRPr="00742C18">
        <w:t>and issue an evaluation report together</w:t>
      </w:r>
      <w:r w:rsidRPr="00CC4C9B">
        <w:t xml:space="preserve"> with a performance score at the end of each quarter. An aggregate annual performance score will be issued at the end of the contract period.</w:t>
      </w:r>
    </w:p>
    <w:p w14:paraId="793ABE35" w14:textId="77777777" w:rsidR="0098474E" w:rsidRPr="0098474E" w:rsidRDefault="0098474E" w:rsidP="0098474E"/>
    <w:p w14:paraId="30282573" w14:textId="77777777" w:rsidR="0098474E" w:rsidRPr="0098474E" w:rsidRDefault="0098474E" w:rsidP="0022119E">
      <w:pPr>
        <w:pStyle w:val="Heading1"/>
        <w:ind w:left="450" w:hanging="450"/>
        <w:rPr>
          <w:b/>
          <w:bCs/>
        </w:rPr>
      </w:pPr>
      <w:bookmarkStart w:id="3" w:name="_Toc231820279"/>
      <w:r w:rsidRPr="0098474E">
        <w:rPr>
          <w:b/>
          <w:bCs/>
        </w:rPr>
        <w:t>GUIDELINES TO THE ACTIVITIES TO ASSIST IN ACHIEVING THE INDICATOR</w:t>
      </w:r>
      <w:bookmarkEnd w:id="3"/>
    </w:p>
    <w:p w14:paraId="79DB0F02" w14:textId="6C48054D" w:rsidR="0098474E" w:rsidRPr="0098474E" w:rsidRDefault="0098474E" w:rsidP="0098474E">
      <w:pPr>
        <w:numPr>
          <w:ilvl w:val="0"/>
          <w:numId w:val="9"/>
        </w:numPr>
        <w:ind w:left="630"/>
        <w:rPr>
          <w:b/>
          <w:bCs/>
        </w:rPr>
      </w:pPr>
      <w:r w:rsidRPr="0098474E">
        <w:rPr>
          <w:b/>
          <w:bCs/>
        </w:rPr>
        <w:t>Establishment of Asset Management Structures</w:t>
      </w:r>
    </w:p>
    <w:p w14:paraId="63DBB091" w14:textId="1717CCA2" w:rsidR="0098474E" w:rsidRPr="00742C18" w:rsidRDefault="0098474E" w:rsidP="0098474E">
      <w:pPr>
        <w:rPr>
          <w:color w:val="auto"/>
        </w:rPr>
      </w:pPr>
      <w:bookmarkStart w:id="4" w:name="_Toc231818511"/>
      <w:bookmarkStart w:id="5" w:name="_Toc231819273"/>
      <w:r w:rsidRPr="0098474E">
        <w:t xml:space="preserve">Public sector entities are expected to establish and maintain adequate asset management structures and systems to ensure the prudent management of public assets. To this end, </w:t>
      </w:r>
      <w:r w:rsidR="00C3017C">
        <w:t xml:space="preserve">Principal Secretaries/Accounting Officers of </w:t>
      </w:r>
      <w:r w:rsidRPr="0098474E">
        <w:t xml:space="preserve">MDAs shall establish Asset and Liability Management Committees and Asset and Liability Management Units to support Accounting Officers in the preparation and maintenance of accurate, verifiable, and complete asset registers for their respective entities. </w:t>
      </w:r>
      <w:r w:rsidRPr="00742C18">
        <w:rPr>
          <w:color w:val="auto"/>
        </w:rPr>
        <w:t xml:space="preserve">Performance </w:t>
      </w:r>
      <w:r w:rsidR="008849E5" w:rsidRPr="00742C18">
        <w:rPr>
          <w:color w:val="auto"/>
        </w:rPr>
        <w:t xml:space="preserve">of the </w:t>
      </w:r>
      <w:r w:rsidR="00A02696" w:rsidRPr="00742C18">
        <w:rPr>
          <w:color w:val="auto"/>
        </w:rPr>
        <w:t>Committee</w:t>
      </w:r>
      <w:r w:rsidR="00282EA6" w:rsidRPr="00742C18">
        <w:rPr>
          <w:color w:val="auto"/>
        </w:rPr>
        <w:t xml:space="preserve"> and </w:t>
      </w:r>
      <w:r w:rsidR="00B97EAC" w:rsidRPr="00742C18">
        <w:rPr>
          <w:color w:val="auto"/>
        </w:rPr>
        <w:t xml:space="preserve">the </w:t>
      </w:r>
      <w:r w:rsidR="00C3017C" w:rsidRPr="00742C18">
        <w:rPr>
          <w:color w:val="auto"/>
        </w:rPr>
        <w:t>unit shall</w:t>
      </w:r>
      <w:r w:rsidR="00A02696" w:rsidRPr="00742C18">
        <w:rPr>
          <w:color w:val="auto"/>
        </w:rPr>
        <w:t xml:space="preserve"> be assessed through submission of quarterly </w:t>
      </w:r>
      <w:r w:rsidR="001560C5" w:rsidRPr="00742C18">
        <w:rPr>
          <w:color w:val="auto"/>
        </w:rPr>
        <w:t>minutes</w:t>
      </w:r>
      <w:r w:rsidRPr="00742C18">
        <w:rPr>
          <w:color w:val="auto"/>
        </w:rPr>
        <w:t xml:space="preserve"> and scored under sub-indicator (a) above.</w:t>
      </w:r>
      <w:bookmarkEnd w:id="4"/>
      <w:bookmarkEnd w:id="5"/>
    </w:p>
    <w:p w14:paraId="1537D0DD" w14:textId="09444300" w:rsidR="0098474E" w:rsidRPr="0098474E" w:rsidRDefault="0098474E" w:rsidP="0098474E">
      <w:pPr>
        <w:tabs>
          <w:tab w:val="left" w:pos="2560"/>
        </w:tabs>
        <w:ind w:left="0"/>
        <w:sectPr w:rsidR="0098474E" w:rsidRPr="0098474E" w:rsidSect="0098474E">
          <w:footerReference w:type="even" r:id="rId9"/>
          <w:footerReference w:type="default" r:id="rId10"/>
          <w:footerReference w:type="first" r:id="rId11"/>
          <w:pgSz w:w="11904" w:h="16834"/>
          <w:pgMar w:top="1890" w:right="1200" w:bottom="1350" w:left="1123" w:header="720" w:footer="720" w:gutter="0"/>
          <w:cols w:space="720"/>
        </w:sectPr>
      </w:pPr>
    </w:p>
    <w:p w14:paraId="3CEEA0DA" w14:textId="35D57DAD" w:rsidR="008B7728" w:rsidRPr="00F06636" w:rsidRDefault="00464035" w:rsidP="0098474E">
      <w:pPr>
        <w:pStyle w:val="Heading2"/>
        <w:numPr>
          <w:ilvl w:val="0"/>
          <w:numId w:val="9"/>
        </w:numPr>
        <w:ind w:left="360"/>
        <w:rPr>
          <w:b/>
          <w:bCs/>
        </w:rPr>
      </w:pPr>
      <w:bookmarkStart w:id="6" w:name="_Toc231820280"/>
      <w:r w:rsidRPr="00F06636">
        <w:rPr>
          <w:b/>
          <w:bCs/>
        </w:rPr>
        <w:lastRenderedPageBreak/>
        <w:t>Verified and updated Asset Register maintained (30%)</w:t>
      </w:r>
      <w:bookmarkEnd w:id="6"/>
    </w:p>
    <w:p w14:paraId="45CFD230" w14:textId="7D076D7B" w:rsidR="00590156" w:rsidRPr="00742C18" w:rsidRDefault="00DD2828" w:rsidP="00F06636">
      <w:pPr>
        <w:pStyle w:val="ListParagraph"/>
        <w:ind w:left="0" w:right="163"/>
        <w:rPr>
          <w:color w:val="auto"/>
        </w:rPr>
      </w:pPr>
      <w:r w:rsidRPr="00DD2828">
        <w:t>All</w:t>
      </w:r>
      <w:r w:rsidR="00C3017C">
        <w:t xml:space="preserve"> </w:t>
      </w:r>
      <w:r w:rsidR="00C3017C">
        <w:t>Principal Secretaries/Accounting Officers of</w:t>
      </w:r>
      <w:r w:rsidRPr="00DD2828">
        <w:t xml:space="preserve"> MDAs are required to submit quarterly asset management reports to the National Treasury using the prescribed reporting format</w:t>
      </w:r>
      <w:r w:rsidR="00C3017C">
        <w:t xml:space="preserve"> on  or before the 15</w:t>
      </w:r>
      <w:r w:rsidR="00C3017C" w:rsidRPr="00C3017C">
        <w:rPr>
          <w:vertAlign w:val="superscript"/>
        </w:rPr>
        <w:t>th</w:t>
      </w:r>
      <w:r w:rsidR="00C3017C">
        <w:t xml:space="preserve"> </w:t>
      </w:r>
      <w:r w:rsidR="00997176">
        <w:t>day, after</w:t>
      </w:r>
      <w:r w:rsidR="00C3017C">
        <w:t xml:space="preserve"> the end of the </w:t>
      </w:r>
      <w:r w:rsidR="00997176">
        <w:t>preceding quarter</w:t>
      </w:r>
      <w:r w:rsidRPr="00DD2828">
        <w:t xml:space="preserve">. </w:t>
      </w:r>
      <w:r w:rsidR="00FF008E" w:rsidRPr="00742C18">
        <w:rPr>
          <w:color w:val="auto"/>
        </w:rPr>
        <w:t xml:space="preserve">In addition, all MDAs shall undertake an annual asset verification exercise to confirm the existence of assets and validate the accuracy and completeness of information captured in the asset registers. </w:t>
      </w:r>
      <w:r w:rsidR="00997176">
        <w:t xml:space="preserve">Principal Secretaries/Accounting Officers of </w:t>
      </w:r>
      <w:r w:rsidR="00FF008E" w:rsidRPr="00742C18">
        <w:rPr>
          <w:color w:val="auto"/>
        </w:rPr>
        <w:t>MDAs shall be required to submit an Asset Verification Report in the fourth quarter of FY 2026/27. The report shall be assessed as part of the evaluation of compliance with the asset management performance indicator.</w:t>
      </w:r>
    </w:p>
    <w:p w14:paraId="53809110" w14:textId="77777777" w:rsidR="0016511D" w:rsidRPr="0016511D" w:rsidRDefault="0016511D" w:rsidP="00F06636">
      <w:pPr>
        <w:pStyle w:val="ListParagraph"/>
        <w:ind w:left="0" w:right="163"/>
        <w:rPr>
          <w:sz w:val="8"/>
          <w:szCs w:val="8"/>
        </w:rPr>
      </w:pPr>
    </w:p>
    <w:p w14:paraId="54F88C38" w14:textId="1FAFA475" w:rsidR="00941001" w:rsidRPr="0016511D" w:rsidRDefault="00590156" w:rsidP="00F06636">
      <w:pPr>
        <w:pStyle w:val="ListParagraph"/>
        <w:ind w:left="0" w:right="163"/>
        <w:rPr>
          <w:b/>
          <w:bCs/>
        </w:rPr>
      </w:pPr>
      <w:r>
        <w:t>T</w:t>
      </w:r>
      <w:r w:rsidR="00DD2828" w:rsidRPr="00DD2828">
        <w:t>he prescribed reporting templates</w:t>
      </w:r>
      <w:r w:rsidR="00937EBD">
        <w:t xml:space="preserve">, </w:t>
      </w:r>
      <w:r w:rsidR="00742C18">
        <w:t>a</w:t>
      </w:r>
      <w:r w:rsidR="00A56FE2">
        <w:t xml:space="preserve">sset </w:t>
      </w:r>
      <w:r w:rsidR="00937EBD">
        <w:t>verification tool</w:t>
      </w:r>
      <w:r w:rsidR="00DD2828" w:rsidRPr="00DD2828">
        <w:t xml:space="preserve"> and other guidance materials to support MDAs in the implementation of this performance indicator can be accessed through the National Treasury website or via the</w:t>
      </w:r>
      <w:r w:rsidR="00FD5545">
        <w:t xml:space="preserve"> link</w:t>
      </w:r>
      <w:r w:rsidR="00DD2828" w:rsidRPr="00DD2828">
        <w:t>:</w:t>
      </w:r>
      <w:r w:rsidR="001C72FC">
        <w:t xml:space="preserve"> </w:t>
      </w:r>
      <w:hyperlink r:id="rId12" w:history="1">
        <w:r w:rsidR="00941001" w:rsidRPr="0016511D">
          <w:rPr>
            <w:rStyle w:val="Hyperlink"/>
            <w:b/>
            <w:bCs/>
          </w:rPr>
          <w:t>https://www.treasury.go.ke/nalm</w:t>
        </w:r>
      </w:hyperlink>
    </w:p>
    <w:p w14:paraId="7B2F3B7B" w14:textId="126B0431" w:rsidR="008B7728" w:rsidRPr="00B4145D" w:rsidRDefault="008B5795" w:rsidP="0098474E">
      <w:pPr>
        <w:pStyle w:val="Heading2"/>
        <w:numPr>
          <w:ilvl w:val="0"/>
          <w:numId w:val="9"/>
        </w:numPr>
        <w:ind w:left="360"/>
        <w:rPr>
          <w:b/>
          <w:bCs/>
        </w:rPr>
      </w:pPr>
      <w:bookmarkStart w:id="7" w:name="_Toc231820281"/>
      <w:r w:rsidRPr="00B4145D">
        <w:rPr>
          <w:b/>
          <w:bCs/>
        </w:rPr>
        <w:t>Asset’s</w:t>
      </w:r>
      <w:r w:rsidR="00464035" w:rsidRPr="00B4145D">
        <w:rPr>
          <w:b/>
          <w:bCs/>
        </w:rPr>
        <w:t xml:space="preserve"> ownership documents maintained (30%)</w:t>
      </w:r>
      <w:bookmarkEnd w:id="7"/>
    </w:p>
    <w:p w14:paraId="080A497F" w14:textId="77777777" w:rsidR="002862E5" w:rsidRDefault="002862E5" w:rsidP="002862E5">
      <w:pPr>
        <w:spacing w:after="0"/>
        <w:ind w:left="0" w:right="187"/>
        <w:rPr>
          <w:sz w:val="8"/>
          <w:szCs w:val="8"/>
        </w:rPr>
      </w:pPr>
    </w:p>
    <w:p w14:paraId="5A5CD88D" w14:textId="2D18AD2B" w:rsidR="00B4145D" w:rsidRDefault="006E4731" w:rsidP="002862E5">
      <w:pPr>
        <w:spacing w:after="0"/>
        <w:ind w:left="0" w:right="187"/>
      </w:pPr>
      <w:r>
        <w:t xml:space="preserve">There has been </w:t>
      </w:r>
      <w:r w:rsidR="00997176">
        <w:t>remarkable</w:t>
      </w:r>
      <w:r>
        <w:t xml:space="preserve"> progress towards acquisition of ownership documents by </w:t>
      </w:r>
      <w:r w:rsidR="00997176">
        <w:t xml:space="preserve">Principal Secretaries/Accounting Officers of </w:t>
      </w:r>
      <w:r>
        <w:t>MDAs</w:t>
      </w:r>
      <w:r w:rsidR="00997176">
        <w:t>. However, several</w:t>
      </w:r>
      <w:r w:rsidR="00B4145D">
        <w:t xml:space="preserve"> public entities </w:t>
      </w:r>
      <w:r w:rsidR="002A548A">
        <w:t xml:space="preserve">still </w:t>
      </w:r>
      <w:r w:rsidR="00B4145D">
        <w:t>lack</w:t>
      </w:r>
      <w:r w:rsidR="002A548A">
        <w:t xml:space="preserve"> </w:t>
      </w:r>
      <w:r w:rsidR="00B4145D">
        <w:t>adequate proof of ownership for their assets, particularly land, buildings, and motor vehicles, due to the absence of the requisite ownership documents. This issue has been highlighted in various statutory and management reports.</w:t>
      </w:r>
    </w:p>
    <w:p w14:paraId="03202D03" w14:textId="77777777" w:rsidR="002A5935" w:rsidRPr="002A5935" w:rsidRDefault="002A5935" w:rsidP="00F06636">
      <w:pPr>
        <w:spacing w:after="0"/>
        <w:ind w:left="34" w:right="187"/>
        <w:rPr>
          <w:sz w:val="8"/>
          <w:szCs w:val="8"/>
        </w:rPr>
      </w:pPr>
    </w:p>
    <w:p w14:paraId="65349099" w14:textId="25797A2D" w:rsidR="00395109" w:rsidRDefault="00B4145D" w:rsidP="00F06636">
      <w:pPr>
        <w:spacing w:after="0"/>
        <w:ind w:left="34" w:right="187"/>
      </w:pPr>
      <w:r>
        <w:t xml:space="preserve">Accordingly, all </w:t>
      </w:r>
      <w:r w:rsidR="00997176">
        <w:t>Principal Secretaries/</w:t>
      </w:r>
      <w:r>
        <w:t>Accounting Officers are required to ensure that entities under their jurisdiction possess valid ownership documents for all assets</w:t>
      </w:r>
      <w:r w:rsidR="00997176">
        <w:t xml:space="preserve"> under their custody</w:t>
      </w:r>
      <w:r>
        <w:t>. For new acquisitions, title documents for land and buildings shall be registered in the name of the Cabinet Secretary to the National Treasury, Republic of Kenya</w:t>
      </w:r>
      <w:r w:rsidR="00B03765" w:rsidRPr="00B03765">
        <w:t xml:space="preserve"> and such documents shall be held in the custody of the National Treasury</w:t>
      </w:r>
      <w:r>
        <w:t>, unless otherwise exempted by an Act of Parliament.</w:t>
      </w:r>
    </w:p>
    <w:p w14:paraId="7F4ECCF5" w14:textId="77777777" w:rsidR="00395109" w:rsidRPr="00395109" w:rsidRDefault="00395109" w:rsidP="00F06636">
      <w:pPr>
        <w:spacing w:after="0"/>
        <w:ind w:left="34" w:right="187"/>
        <w:rPr>
          <w:sz w:val="8"/>
          <w:szCs w:val="8"/>
        </w:rPr>
      </w:pPr>
    </w:p>
    <w:p w14:paraId="27E4800A" w14:textId="694C2F54" w:rsidR="00B4145D" w:rsidRDefault="00B4145D" w:rsidP="00F06636">
      <w:pPr>
        <w:spacing w:after="0"/>
        <w:ind w:left="34" w:right="187"/>
      </w:pPr>
      <w:r>
        <w:t>Public entities are required to comply with the provisions of National Treasury Circular No. 5 of 2024 on the acquisition of title deeds for public institution land and National Treasury Circular No. 6 of 2025 on the acquisition of logbooks for Government motor vehicles and other transport assets.</w:t>
      </w:r>
    </w:p>
    <w:p w14:paraId="3A3C2089" w14:textId="77777777" w:rsidR="006D063E" w:rsidRPr="006D063E" w:rsidRDefault="006D063E" w:rsidP="00F06636">
      <w:pPr>
        <w:spacing w:after="0"/>
        <w:ind w:left="34" w:right="187"/>
        <w:rPr>
          <w:sz w:val="8"/>
          <w:szCs w:val="8"/>
        </w:rPr>
      </w:pPr>
    </w:p>
    <w:p w14:paraId="17F5B648" w14:textId="34C24038" w:rsidR="006A1AE4" w:rsidRDefault="00B4145D" w:rsidP="00F06636">
      <w:pPr>
        <w:spacing w:after="206"/>
        <w:ind w:left="34" w:right="187"/>
      </w:pPr>
      <w:r>
        <w:t xml:space="preserve">The status of ownership documents for all assets shall be clearly indicated in the respective asset register reporting templates. In addition, soft copies of ownership documents for land, buildings, and motor vehicles shall be submitted together with the asset register reporting templates through the official email address: </w:t>
      </w:r>
      <w:hyperlink r:id="rId13" w:history="1">
        <w:r w:rsidR="002A04D6" w:rsidRPr="002F3BDC">
          <w:rPr>
            <w:rStyle w:val="Hyperlink"/>
          </w:rPr>
          <w:t>nalm@treasury.go.ke</w:t>
        </w:r>
      </w:hyperlink>
      <w:r w:rsidR="00652CD6">
        <w:t>.</w:t>
      </w:r>
    </w:p>
    <w:p w14:paraId="48722117" w14:textId="4050E28B" w:rsidR="00DE41E2" w:rsidRDefault="00A32C34" w:rsidP="00F06636">
      <w:pPr>
        <w:spacing w:after="206"/>
        <w:ind w:left="34" w:right="187"/>
      </w:pPr>
      <w:r w:rsidRPr="00742C18">
        <w:t xml:space="preserve">Where </w:t>
      </w:r>
      <w:r w:rsidR="00997176">
        <w:t xml:space="preserve">Principal Secretaries/Accounting Officers of </w:t>
      </w:r>
      <w:r w:rsidRPr="00742C18">
        <w:t>MDAs do not possess ownership documents for land, buildings, or motor vehicles, they shall be required to provide documentary evidence demonstrating that the process of acquiring the requisite ownership documents has been initiated.</w:t>
      </w:r>
    </w:p>
    <w:p w14:paraId="0897114A" w14:textId="14D7AFC2" w:rsidR="007B0318" w:rsidRDefault="00A44FB2" w:rsidP="004F5723">
      <w:pPr>
        <w:spacing w:after="206"/>
        <w:ind w:left="34" w:right="187"/>
      </w:pPr>
      <w:r>
        <w:lastRenderedPageBreak/>
        <w:t>The requirement on ownership documents will be considered when assessing the completeness of the asset registers reporting templates.</w:t>
      </w:r>
    </w:p>
    <w:p w14:paraId="7DAB155B" w14:textId="726E0DC4" w:rsidR="008B7728" w:rsidRPr="00082F7E" w:rsidRDefault="00464035" w:rsidP="0098474E">
      <w:pPr>
        <w:pStyle w:val="Heading2"/>
        <w:numPr>
          <w:ilvl w:val="0"/>
          <w:numId w:val="9"/>
        </w:numPr>
        <w:ind w:left="540"/>
        <w:rPr>
          <w:b/>
          <w:bCs/>
        </w:rPr>
      </w:pPr>
      <w:bookmarkStart w:id="8" w:name="_Toc231820282"/>
      <w:r w:rsidRPr="00082F7E">
        <w:rPr>
          <w:b/>
          <w:bCs/>
        </w:rPr>
        <w:t>Idle Assets disposed. (40%)</w:t>
      </w:r>
      <w:bookmarkEnd w:id="8"/>
    </w:p>
    <w:p w14:paraId="19AA372B" w14:textId="77777777" w:rsidR="004F5723" w:rsidRDefault="004F5723" w:rsidP="0098474E">
      <w:pPr>
        <w:spacing w:after="0"/>
        <w:ind w:left="206" w:right="187"/>
        <w:rPr>
          <w:sz w:val="8"/>
          <w:szCs w:val="8"/>
        </w:rPr>
      </w:pPr>
    </w:p>
    <w:p w14:paraId="275F32A8" w14:textId="27BD065F" w:rsidR="008B7728" w:rsidRDefault="00464035" w:rsidP="00F06636">
      <w:pPr>
        <w:spacing w:after="201"/>
        <w:ind w:left="206" w:right="187"/>
      </w:pPr>
      <w:r>
        <w:t>Ensure disposal of</w:t>
      </w:r>
      <w:r w:rsidR="00F97170">
        <w:t xml:space="preserve"> </w:t>
      </w:r>
      <w:r>
        <w:t xml:space="preserve">unserviceable, obsolete and surplus assets by way </w:t>
      </w:r>
      <w:r w:rsidR="00F97170">
        <w:t>of sale</w:t>
      </w:r>
      <w:r>
        <w:t>, transfer to other public institutions, destruction, donation or any other authorized methods of disposal and in all cases in full conformity to the existing legal requirements.</w:t>
      </w:r>
      <w:r>
        <w:rPr>
          <w:noProof/>
        </w:rPr>
        <w:drawing>
          <wp:inline distT="0" distB="0" distL="0" distR="0" wp14:anchorId="4C247E43" wp14:editId="2F0CBE09">
            <wp:extent cx="3047" cy="3049"/>
            <wp:effectExtent l="0" t="0" r="0" b="0"/>
            <wp:docPr id="8836" name="Picture 8836"/>
            <wp:cNvGraphicFramePr/>
            <a:graphic xmlns:a="http://schemas.openxmlformats.org/drawingml/2006/main">
              <a:graphicData uri="http://schemas.openxmlformats.org/drawingml/2006/picture">
                <pic:pic xmlns:pic="http://schemas.openxmlformats.org/drawingml/2006/picture">
                  <pic:nvPicPr>
                    <pic:cNvPr id="8836" name="Picture 8836"/>
                    <pic:cNvPicPr/>
                  </pic:nvPicPr>
                  <pic:blipFill>
                    <a:blip r:embed="rId14"/>
                    <a:stretch>
                      <a:fillRect/>
                    </a:stretch>
                  </pic:blipFill>
                  <pic:spPr>
                    <a:xfrm>
                      <a:off x="0" y="0"/>
                      <a:ext cx="3047" cy="3049"/>
                    </a:xfrm>
                    <a:prstGeom prst="rect">
                      <a:avLst/>
                    </a:prstGeom>
                  </pic:spPr>
                </pic:pic>
              </a:graphicData>
            </a:graphic>
          </wp:inline>
        </w:drawing>
      </w:r>
    </w:p>
    <w:p w14:paraId="0A270E68" w14:textId="77777777" w:rsidR="008B7728" w:rsidRDefault="00464035" w:rsidP="00F06636">
      <w:pPr>
        <w:ind w:left="206" w:right="14"/>
      </w:pPr>
      <w:r>
        <w:t>There are many idle and unserviceable assets that are not disposed by public entities. Failure to dispose of assets leads to wastage due to deterioration of assets value and additional costs being incurred as a result of holding such assets e.g. storage costs.</w:t>
      </w:r>
    </w:p>
    <w:p w14:paraId="23F6A7B3" w14:textId="4EA98E68" w:rsidR="00231422" w:rsidRDefault="00997176" w:rsidP="00F06636">
      <w:pPr>
        <w:spacing w:after="0"/>
        <w:ind w:left="206" w:right="14"/>
      </w:pPr>
      <w:r>
        <w:t xml:space="preserve">Principal Secretaries/Accounting Officers of </w:t>
      </w:r>
      <w:r w:rsidR="00231422" w:rsidRPr="00E45D41">
        <w:t>MDAs shall submit their Asset Disposal Plans in the first quarter of the reporting period, by 15 October 2026. Subsequently, they shall provide quarterly evidence of the implementation of the disposal plans. At the end of the fourth quarter, MDAs shall submit an Asset Disposal Closure Report outlining the completion status and results of the disposal activities undertaken during the reporting period.</w:t>
      </w:r>
    </w:p>
    <w:p w14:paraId="6A67D0DE" w14:textId="77777777" w:rsidR="00231422" w:rsidRPr="00231422" w:rsidRDefault="00231422" w:rsidP="00F06636">
      <w:pPr>
        <w:spacing w:after="0"/>
        <w:ind w:left="206" w:right="14"/>
        <w:rPr>
          <w:sz w:val="8"/>
          <w:szCs w:val="8"/>
        </w:rPr>
      </w:pPr>
    </w:p>
    <w:p w14:paraId="1760682D" w14:textId="2468305E" w:rsidR="008B7728" w:rsidRDefault="00464035" w:rsidP="006C6C27">
      <w:pPr>
        <w:spacing w:after="0"/>
        <w:ind w:left="206" w:right="14"/>
      </w:pPr>
      <w:r>
        <w:t xml:space="preserve">The assessment of this indicator will aim to establish whether a public sector entity fulfills its asset disposal obligations under the Public Procurement and Assets Disposal Act, CAP 412C and its Regulations, 2020 and whether the procedures there-in </w:t>
      </w:r>
      <w:r w:rsidR="00997176">
        <w:t>we</w:t>
      </w:r>
      <w:r>
        <w:t>re adhered to and that the entity has fully implemented its asset disposal plan.</w:t>
      </w:r>
    </w:p>
    <w:p w14:paraId="7040D1B5" w14:textId="77777777" w:rsidR="006C6C27" w:rsidRDefault="006C6C27" w:rsidP="006C6C27">
      <w:pPr>
        <w:spacing w:after="0"/>
        <w:ind w:left="206" w:right="14"/>
      </w:pPr>
    </w:p>
    <w:p w14:paraId="68894942" w14:textId="76B9AA5B" w:rsidR="008B7728" w:rsidRPr="002B6F61" w:rsidRDefault="00464035" w:rsidP="006C6C27">
      <w:pPr>
        <w:pStyle w:val="Heading2"/>
        <w:numPr>
          <w:ilvl w:val="0"/>
          <w:numId w:val="9"/>
        </w:numPr>
        <w:ind w:left="630"/>
        <w:rPr>
          <w:b/>
          <w:bCs/>
        </w:rPr>
      </w:pPr>
      <w:bookmarkStart w:id="9" w:name="_Toc231820283"/>
      <w:r w:rsidRPr="002B6F61">
        <w:rPr>
          <w:b/>
          <w:bCs/>
        </w:rPr>
        <w:t>Reporting Timelines</w:t>
      </w:r>
      <w:bookmarkEnd w:id="9"/>
    </w:p>
    <w:p w14:paraId="75CC4AAE" w14:textId="003F3301" w:rsidR="008B7728" w:rsidRDefault="00464035" w:rsidP="004F5723">
      <w:pPr>
        <w:numPr>
          <w:ilvl w:val="0"/>
          <w:numId w:val="13"/>
        </w:numPr>
        <w:spacing w:after="0"/>
        <w:ind w:left="630" w:right="14" w:hanging="360"/>
      </w:pPr>
      <w:r>
        <w:t>MDAs contracted in FY202</w:t>
      </w:r>
      <w:r w:rsidR="007B0318">
        <w:t>6</w:t>
      </w:r>
      <w:r>
        <w:t>-202</w:t>
      </w:r>
      <w:r w:rsidR="00CC022D">
        <w:t>7</w:t>
      </w:r>
      <w:r>
        <w:t xml:space="preserve"> PC must submit their approved Annual Disposal Plans by October 15, 202</w:t>
      </w:r>
      <w:r w:rsidR="005537B0">
        <w:t>6</w:t>
      </w:r>
      <w:r>
        <w:t>.</w:t>
      </w:r>
    </w:p>
    <w:p w14:paraId="1FA92AE7" w14:textId="77777777" w:rsidR="004F5723" w:rsidRPr="004F5723" w:rsidRDefault="004F5723" w:rsidP="004F5723">
      <w:pPr>
        <w:spacing w:after="0"/>
        <w:ind w:left="630" w:right="14"/>
        <w:rPr>
          <w:sz w:val="8"/>
          <w:szCs w:val="8"/>
        </w:rPr>
      </w:pPr>
    </w:p>
    <w:p w14:paraId="3959F005" w14:textId="40AB4D03" w:rsidR="008B7728" w:rsidRDefault="00464035" w:rsidP="004F5723">
      <w:pPr>
        <w:numPr>
          <w:ilvl w:val="0"/>
          <w:numId w:val="13"/>
        </w:numPr>
        <w:spacing w:after="0"/>
        <w:ind w:left="630" w:right="14" w:hanging="360"/>
      </w:pPr>
      <w:r>
        <w:t>Quarterly</w:t>
      </w:r>
      <w:r w:rsidR="00B375C2">
        <w:t xml:space="preserve"> submissions including;</w:t>
      </w:r>
      <w:r>
        <w:t xml:space="preserve"> </w:t>
      </w:r>
      <w:r w:rsidR="00B74901">
        <w:t>M</w:t>
      </w:r>
      <w:r w:rsidR="00EB6EE9">
        <w:t xml:space="preserve">inutes of </w:t>
      </w:r>
      <w:r>
        <w:t xml:space="preserve">asset management </w:t>
      </w:r>
      <w:r w:rsidR="00997176">
        <w:t>committee,</w:t>
      </w:r>
      <w:r>
        <w:t xml:space="preserve"> asset registers, assets' ownership documents as well as disposal implementation status reports must be submitted by the 15</w:t>
      </w:r>
      <w:r>
        <w:rPr>
          <w:vertAlign w:val="superscript"/>
        </w:rPr>
        <w:t xml:space="preserve">th </w:t>
      </w:r>
      <w:r>
        <w:t>day of the subsequent month after every quarter.</w:t>
      </w:r>
    </w:p>
    <w:p w14:paraId="1BB31FC5" w14:textId="77777777" w:rsidR="005D4DC3" w:rsidRPr="005D4DC3" w:rsidRDefault="005D4DC3" w:rsidP="005D4DC3">
      <w:pPr>
        <w:spacing w:after="0"/>
        <w:ind w:left="630" w:right="14"/>
        <w:rPr>
          <w:sz w:val="8"/>
          <w:szCs w:val="8"/>
        </w:rPr>
      </w:pPr>
    </w:p>
    <w:p w14:paraId="2B4B699F" w14:textId="72E8424C" w:rsidR="002B6F61" w:rsidRPr="00513F7E" w:rsidRDefault="002B6F61" w:rsidP="004F5723">
      <w:pPr>
        <w:numPr>
          <w:ilvl w:val="0"/>
          <w:numId w:val="13"/>
        </w:numPr>
        <w:spacing w:after="3"/>
        <w:ind w:left="630" w:right="14" w:hanging="360"/>
      </w:pPr>
      <w:r w:rsidRPr="00513F7E">
        <w:t>MDAs shall submit the Asset Verification Report</w:t>
      </w:r>
      <w:r w:rsidR="00A71AFC" w:rsidRPr="00513F7E">
        <w:t xml:space="preserve"> in the prescribed form</w:t>
      </w:r>
      <w:r w:rsidR="009100E0" w:rsidRPr="00513F7E">
        <w:t xml:space="preserve">at </w:t>
      </w:r>
      <w:r w:rsidRPr="00513F7E">
        <w:t>and the Asset Disposal Closure Report in the fourth quarter of the reporting period.</w:t>
      </w:r>
    </w:p>
    <w:p w14:paraId="637AE7EE" w14:textId="77777777" w:rsidR="004F5723" w:rsidRPr="00513F7E" w:rsidRDefault="004F5723" w:rsidP="004F5723">
      <w:pPr>
        <w:spacing w:after="3"/>
        <w:ind w:left="630" w:right="14"/>
        <w:rPr>
          <w:sz w:val="8"/>
          <w:szCs w:val="8"/>
        </w:rPr>
      </w:pPr>
    </w:p>
    <w:p w14:paraId="4A128A22" w14:textId="2626E4F3" w:rsidR="006C6C27" w:rsidRPr="00513F7E" w:rsidRDefault="00464035" w:rsidP="006C6C27">
      <w:pPr>
        <w:numPr>
          <w:ilvl w:val="0"/>
          <w:numId w:val="13"/>
        </w:numPr>
        <w:spacing w:after="3"/>
        <w:ind w:left="630" w:right="14" w:hanging="360"/>
      </w:pPr>
      <w:r w:rsidRPr="00513F7E">
        <w:t>NO score shall be awarded for late submission.</w:t>
      </w:r>
    </w:p>
    <w:p w14:paraId="6FF096D7" w14:textId="78E1A15F" w:rsidR="008B7728" w:rsidRDefault="00464035" w:rsidP="004F5723">
      <w:pPr>
        <w:numPr>
          <w:ilvl w:val="0"/>
          <w:numId w:val="13"/>
        </w:numPr>
        <w:spacing w:after="3"/>
        <w:ind w:left="630" w:right="14" w:hanging="360"/>
      </w:pPr>
      <w:r>
        <w:t>Th</w:t>
      </w:r>
      <w:r w:rsidR="00632876">
        <w:t>e</w:t>
      </w:r>
      <w:r w:rsidR="00A37B80" w:rsidRPr="00A37B80">
        <w:t xml:space="preserve"> </w:t>
      </w:r>
      <w:r>
        <w:t xml:space="preserve">State Department for Public Investments &amp; Assets </w:t>
      </w:r>
      <w:r w:rsidR="00997176">
        <w:t>Management</w:t>
      </w:r>
      <w:r>
        <w:t xml:space="preserve"> </w:t>
      </w:r>
      <w:r w:rsidR="00997176">
        <w:t xml:space="preserve">of the National Treasury </w:t>
      </w:r>
      <w:r>
        <w:t>shall provide feedback on the reports submitted within 15 days after the submission deadline.</w:t>
      </w:r>
    </w:p>
    <w:p w14:paraId="09F3D401" w14:textId="760BDD01" w:rsidR="00F06636" w:rsidRDefault="00F06636" w:rsidP="00F06636">
      <w:pPr>
        <w:ind w:left="950" w:right="14"/>
      </w:pPr>
    </w:p>
    <w:p w14:paraId="402A685F" w14:textId="77777777" w:rsidR="00A27861" w:rsidRDefault="00A27861" w:rsidP="00F06636">
      <w:pPr>
        <w:ind w:left="950" w:right="14"/>
      </w:pPr>
    </w:p>
    <w:p w14:paraId="7BD7B1F5" w14:textId="77777777" w:rsidR="008B7728" w:rsidRPr="002B6F61" w:rsidRDefault="00464035" w:rsidP="004D7743">
      <w:pPr>
        <w:pStyle w:val="Heading1"/>
        <w:rPr>
          <w:b/>
          <w:bCs/>
        </w:rPr>
      </w:pPr>
      <w:bookmarkStart w:id="10" w:name="_Toc231820284"/>
      <w:r w:rsidRPr="002B6F61">
        <w:rPr>
          <w:b/>
          <w:bCs/>
          <w:noProof/>
        </w:rPr>
        <w:lastRenderedPageBreak/>
        <w:drawing>
          <wp:anchor distT="0" distB="0" distL="114300" distR="114300" simplePos="0" relativeHeight="251659264" behindDoc="0" locked="0" layoutInCell="1" allowOverlap="0" wp14:anchorId="16E3361D" wp14:editId="259FBE05">
            <wp:simplePos x="0" y="0"/>
            <wp:positionH relativeFrom="page">
              <wp:posOffset>585216</wp:posOffset>
            </wp:positionH>
            <wp:positionV relativeFrom="page">
              <wp:posOffset>1213450</wp:posOffset>
            </wp:positionV>
            <wp:extent cx="42672" cy="18293"/>
            <wp:effectExtent l="0" t="0" r="0" b="0"/>
            <wp:wrapTopAndBottom/>
            <wp:docPr id="23797" name="Picture 23797"/>
            <wp:cNvGraphicFramePr/>
            <a:graphic xmlns:a="http://schemas.openxmlformats.org/drawingml/2006/main">
              <a:graphicData uri="http://schemas.openxmlformats.org/drawingml/2006/picture">
                <pic:pic xmlns:pic="http://schemas.openxmlformats.org/drawingml/2006/picture">
                  <pic:nvPicPr>
                    <pic:cNvPr id="23797" name="Picture 23797"/>
                    <pic:cNvPicPr/>
                  </pic:nvPicPr>
                  <pic:blipFill>
                    <a:blip r:embed="rId15"/>
                    <a:stretch>
                      <a:fillRect/>
                    </a:stretch>
                  </pic:blipFill>
                  <pic:spPr>
                    <a:xfrm>
                      <a:off x="0" y="0"/>
                      <a:ext cx="42672" cy="18293"/>
                    </a:xfrm>
                    <a:prstGeom prst="rect">
                      <a:avLst/>
                    </a:prstGeom>
                  </pic:spPr>
                </pic:pic>
              </a:graphicData>
            </a:graphic>
          </wp:anchor>
        </w:drawing>
      </w:r>
      <w:r w:rsidRPr="002B6F61">
        <w:rPr>
          <w:b/>
          <w:bCs/>
        </w:rPr>
        <w:t>EVALUATION CRITERIA</w:t>
      </w:r>
      <w:bookmarkEnd w:id="10"/>
    </w:p>
    <w:tbl>
      <w:tblPr>
        <w:tblStyle w:val="TableGrid"/>
        <w:tblW w:w="985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77" w:type="dxa"/>
          <w:right w:w="120" w:type="dxa"/>
        </w:tblCellMar>
        <w:tblLook w:val="04A0" w:firstRow="1" w:lastRow="0" w:firstColumn="1" w:lastColumn="0" w:noHBand="0" w:noVBand="1"/>
      </w:tblPr>
      <w:tblGrid>
        <w:gridCol w:w="421"/>
        <w:gridCol w:w="4411"/>
        <w:gridCol w:w="3886"/>
        <w:gridCol w:w="1141"/>
      </w:tblGrid>
      <w:tr w:rsidR="008B7728" w14:paraId="0965BF38" w14:textId="77777777" w:rsidTr="00E63DD8">
        <w:trPr>
          <w:trHeight w:val="816"/>
        </w:trPr>
        <w:tc>
          <w:tcPr>
            <w:tcW w:w="380" w:type="dxa"/>
          </w:tcPr>
          <w:p w14:paraId="1CD30DF3" w14:textId="77777777" w:rsidR="008B7728" w:rsidRDefault="008B7728" w:rsidP="008E089B">
            <w:pPr>
              <w:spacing w:after="160" w:line="259" w:lineRule="auto"/>
              <w:ind w:left="0"/>
            </w:pPr>
          </w:p>
        </w:tc>
        <w:tc>
          <w:tcPr>
            <w:tcW w:w="4424" w:type="dxa"/>
          </w:tcPr>
          <w:p w14:paraId="67CAE630" w14:textId="77777777" w:rsidR="008B7728" w:rsidRPr="0083355A" w:rsidRDefault="00464035" w:rsidP="008E089B">
            <w:pPr>
              <w:spacing w:after="0" w:line="259" w:lineRule="auto"/>
              <w:ind w:left="48"/>
              <w:rPr>
                <w:b/>
                <w:bCs/>
              </w:rPr>
            </w:pPr>
            <w:r w:rsidRPr="0083355A">
              <w:rPr>
                <w:b/>
                <w:bCs/>
                <w:sz w:val="28"/>
              </w:rPr>
              <w:t>Sub-Activity</w:t>
            </w:r>
          </w:p>
        </w:tc>
        <w:tc>
          <w:tcPr>
            <w:tcW w:w="3913" w:type="dxa"/>
          </w:tcPr>
          <w:p w14:paraId="6DEDA124" w14:textId="77777777" w:rsidR="008B7728" w:rsidRPr="0083355A" w:rsidRDefault="00464035" w:rsidP="008E089B">
            <w:pPr>
              <w:spacing w:after="0" w:line="259" w:lineRule="auto"/>
              <w:ind w:left="34"/>
              <w:rPr>
                <w:b/>
                <w:bCs/>
              </w:rPr>
            </w:pPr>
            <w:r w:rsidRPr="0083355A">
              <w:rPr>
                <w:b/>
                <w:bCs/>
                <w:sz w:val="28"/>
              </w:rPr>
              <w:t>Evidence of Achievement</w:t>
            </w:r>
          </w:p>
        </w:tc>
        <w:tc>
          <w:tcPr>
            <w:tcW w:w="1142" w:type="dxa"/>
          </w:tcPr>
          <w:p w14:paraId="504BDCE3" w14:textId="77777777" w:rsidR="008B7728" w:rsidRPr="0083355A" w:rsidRDefault="00464035" w:rsidP="008E089B">
            <w:pPr>
              <w:spacing w:after="0" w:line="259" w:lineRule="auto"/>
              <w:ind w:left="24"/>
              <w:rPr>
                <w:b/>
                <w:bCs/>
              </w:rPr>
            </w:pPr>
            <w:r w:rsidRPr="0083355A">
              <w:rPr>
                <w:b/>
                <w:bCs/>
                <w:sz w:val="28"/>
              </w:rPr>
              <w:t>Weight</w:t>
            </w:r>
          </w:p>
        </w:tc>
      </w:tr>
      <w:tr w:rsidR="008B7728" w14:paraId="1AB9B76A" w14:textId="77777777" w:rsidTr="00E63DD8">
        <w:trPr>
          <w:trHeight w:val="4840"/>
        </w:trPr>
        <w:tc>
          <w:tcPr>
            <w:tcW w:w="380" w:type="dxa"/>
          </w:tcPr>
          <w:p w14:paraId="1F657726" w14:textId="77777777" w:rsidR="008B7728" w:rsidRDefault="00464035" w:rsidP="008E089B">
            <w:pPr>
              <w:spacing w:after="0" w:line="259" w:lineRule="auto"/>
              <w:ind w:left="67"/>
            </w:pPr>
            <w:r>
              <w:t>I</w:t>
            </w:r>
          </w:p>
        </w:tc>
        <w:tc>
          <w:tcPr>
            <w:tcW w:w="4424" w:type="dxa"/>
          </w:tcPr>
          <w:p w14:paraId="1298C24D" w14:textId="77777777" w:rsidR="008B7728" w:rsidRDefault="00464035" w:rsidP="008E089B">
            <w:pPr>
              <w:spacing w:after="27" w:line="258" w:lineRule="auto"/>
              <w:ind w:left="34" w:right="240" w:firstLine="10"/>
            </w:pPr>
            <w:r>
              <w:t xml:space="preserve">Verified and updated Asset Register maintained in the format prescribed by the National Treasury in separate asset registers for each category of asset, such as land, buildings, motor vehicle, investment property, lease, </w:t>
            </w:r>
            <w:r>
              <w:rPr>
                <w:noProof/>
              </w:rPr>
              <w:drawing>
                <wp:inline distT="0" distB="0" distL="0" distR="0" wp14:anchorId="7C49843A" wp14:editId="2B62B10A">
                  <wp:extent cx="3048" cy="3049"/>
                  <wp:effectExtent l="0" t="0" r="0" b="0"/>
                  <wp:docPr id="11289" name="Picture 11289"/>
                  <wp:cNvGraphicFramePr/>
                  <a:graphic xmlns:a="http://schemas.openxmlformats.org/drawingml/2006/main">
                    <a:graphicData uri="http://schemas.openxmlformats.org/drawingml/2006/picture">
                      <pic:pic xmlns:pic="http://schemas.openxmlformats.org/drawingml/2006/picture">
                        <pic:nvPicPr>
                          <pic:cNvPr id="11289" name="Picture 11289"/>
                          <pic:cNvPicPr/>
                        </pic:nvPicPr>
                        <pic:blipFill>
                          <a:blip r:embed="rId16"/>
                          <a:stretch>
                            <a:fillRect/>
                          </a:stretch>
                        </pic:blipFill>
                        <pic:spPr>
                          <a:xfrm>
                            <a:off x="0" y="0"/>
                            <a:ext cx="3048" cy="3049"/>
                          </a:xfrm>
                          <a:prstGeom prst="rect">
                            <a:avLst/>
                          </a:prstGeom>
                        </pic:spPr>
                      </pic:pic>
                    </a:graphicData>
                  </a:graphic>
                </wp:inline>
              </w:drawing>
            </w:r>
            <w:r>
              <w:t>intangible assets among others.</w:t>
            </w:r>
          </w:p>
          <w:p w14:paraId="0962C11E" w14:textId="279FAEAA" w:rsidR="008B7728" w:rsidRDefault="00360F51" w:rsidP="008E089B">
            <w:pPr>
              <w:spacing w:after="0" w:line="259" w:lineRule="auto"/>
              <w:ind w:left="38"/>
            </w:pPr>
            <w:hyperlink r:id="rId17" w:history="1">
              <w:r w:rsidRPr="0016511D">
                <w:rPr>
                  <w:rStyle w:val="Hyperlink"/>
                  <w:b/>
                  <w:bCs/>
                </w:rPr>
                <w:t>https://www.treasury.go.ke/nalm</w:t>
              </w:r>
            </w:hyperlink>
          </w:p>
        </w:tc>
        <w:tc>
          <w:tcPr>
            <w:tcW w:w="3913" w:type="dxa"/>
          </w:tcPr>
          <w:p w14:paraId="2C9757C5" w14:textId="77777777" w:rsidR="008B7728" w:rsidRDefault="00464035" w:rsidP="008E089B">
            <w:pPr>
              <w:spacing w:after="156" w:line="260" w:lineRule="auto"/>
              <w:ind w:left="43"/>
            </w:pPr>
            <w:r>
              <w:t>Completed asset registers of all asset categories</w:t>
            </w:r>
          </w:p>
          <w:p w14:paraId="450ED910" w14:textId="5BDD8B80" w:rsidR="008B7728" w:rsidRDefault="00464035" w:rsidP="008E089B">
            <w:pPr>
              <w:spacing w:after="3" w:line="258" w:lineRule="auto"/>
              <w:ind w:left="768" w:hanging="19"/>
            </w:pPr>
            <w:r>
              <w:t>Asset Management Structures</w:t>
            </w:r>
          </w:p>
          <w:p w14:paraId="65AA1300" w14:textId="77777777" w:rsidR="008B7728" w:rsidRDefault="00464035" w:rsidP="008E089B">
            <w:pPr>
              <w:spacing w:after="0" w:line="259" w:lineRule="auto"/>
              <w:ind w:left="749" w:right="34" w:firstLine="5"/>
            </w:pPr>
            <w:r>
              <w:t>Asset verification reports. All asset categories properly reported.</w:t>
            </w:r>
          </w:p>
          <w:p w14:paraId="48A7DF2F" w14:textId="77777777" w:rsidR="008B7728" w:rsidRDefault="00464035" w:rsidP="008E089B">
            <w:pPr>
              <w:spacing w:after="0" w:line="259" w:lineRule="auto"/>
              <w:ind w:left="754" w:right="446" w:hanging="5"/>
            </w:pPr>
            <w:r>
              <w:t>All templates' columns properly and completely filled.</w:t>
            </w:r>
          </w:p>
          <w:p w14:paraId="6B29F566" w14:textId="7A6DEB06" w:rsidR="008B7728" w:rsidRDefault="00464035" w:rsidP="008E089B">
            <w:pPr>
              <w:spacing w:after="0" w:line="262" w:lineRule="auto"/>
              <w:ind w:left="749"/>
            </w:pPr>
            <w:r>
              <w:t xml:space="preserve">All relevant columns </w:t>
            </w:r>
            <w:r w:rsidR="00997176">
              <w:t>are properly</w:t>
            </w:r>
            <w:r>
              <w:t xml:space="preserve"> reconciled and tallied.</w:t>
            </w:r>
          </w:p>
          <w:p w14:paraId="43B83667" w14:textId="77777777" w:rsidR="008B7728" w:rsidRDefault="00464035" w:rsidP="008E089B">
            <w:pPr>
              <w:spacing w:after="0" w:line="259" w:lineRule="auto"/>
              <w:ind w:left="749"/>
            </w:pPr>
            <w:r>
              <w:rPr>
                <w:sz w:val="28"/>
              </w:rPr>
              <w:t>EXCEL format.</w:t>
            </w:r>
          </w:p>
        </w:tc>
        <w:tc>
          <w:tcPr>
            <w:tcW w:w="1142" w:type="dxa"/>
          </w:tcPr>
          <w:p w14:paraId="0D0BDA13" w14:textId="77777777" w:rsidR="008B7728" w:rsidRDefault="00464035" w:rsidP="008E089B">
            <w:pPr>
              <w:spacing w:after="0" w:line="259" w:lineRule="auto"/>
              <w:ind w:left="24"/>
            </w:pPr>
            <w:r>
              <w:rPr>
                <w:sz w:val="28"/>
              </w:rPr>
              <w:t>30</w:t>
            </w:r>
          </w:p>
        </w:tc>
      </w:tr>
      <w:tr w:rsidR="008B7728" w14:paraId="3CE82282" w14:textId="77777777" w:rsidTr="00E63DD8">
        <w:trPr>
          <w:trHeight w:val="2434"/>
        </w:trPr>
        <w:tc>
          <w:tcPr>
            <w:tcW w:w="380" w:type="dxa"/>
          </w:tcPr>
          <w:p w14:paraId="61BE0CF0" w14:textId="77777777" w:rsidR="008B7728" w:rsidRDefault="00464035" w:rsidP="008E089B">
            <w:pPr>
              <w:spacing w:after="0" w:line="259" w:lineRule="auto"/>
              <w:ind w:left="34"/>
            </w:pPr>
            <w:r>
              <w:t>2</w:t>
            </w:r>
          </w:p>
        </w:tc>
        <w:tc>
          <w:tcPr>
            <w:tcW w:w="4424" w:type="dxa"/>
          </w:tcPr>
          <w:p w14:paraId="53032C34" w14:textId="77777777" w:rsidR="008B7728" w:rsidRDefault="00464035" w:rsidP="008E089B">
            <w:pPr>
              <w:spacing w:after="0" w:line="259" w:lineRule="auto"/>
              <w:ind w:left="34"/>
            </w:pPr>
            <w:r>
              <w:t>Assets ownership documents maintained. Submit soft copies of ownership documents for ALL assets under the categories of Land, Building and Motor vehicles.</w:t>
            </w:r>
          </w:p>
        </w:tc>
        <w:tc>
          <w:tcPr>
            <w:tcW w:w="3913" w:type="dxa"/>
          </w:tcPr>
          <w:p w14:paraId="3BC398A3" w14:textId="7C465322" w:rsidR="008B7728" w:rsidRDefault="00464035" w:rsidP="008E089B">
            <w:pPr>
              <w:spacing w:after="0" w:line="259" w:lineRule="auto"/>
              <w:ind w:left="29" w:right="72" w:firstLine="5"/>
            </w:pPr>
            <w:r>
              <w:t>Evidence of receipt /submission of soft copies of assets ownership documents to the PI&amp;AM. (Please note, as part</w:t>
            </w:r>
            <w:r w:rsidR="0083355A">
              <w:t xml:space="preserve"> </w:t>
            </w:r>
            <w:r>
              <w:t>of</w:t>
            </w:r>
            <w:r w:rsidR="0083355A">
              <w:t xml:space="preserve"> </w:t>
            </w:r>
            <w:r>
              <w:t>digitizing government assets, submission via soft copy will attract additional marks.)</w:t>
            </w:r>
          </w:p>
        </w:tc>
        <w:tc>
          <w:tcPr>
            <w:tcW w:w="1142" w:type="dxa"/>
          </w:tcPr>
          <w:p w14:paraId="59C38592" w14:textId="77777777" w:rsidR="008B7728" w:rsidRDefault="00464035" w:rsidP="008E089B">
            <w:pPr>
              <w:spacing w:after="0" w:line="259" w:lineRule="auto"/>
              <w:ind w:left="29"/>
            </w:pPr>
            <w:r>
              <w:rPr>
                <w:sz w:val="28"/>
              </w:rPr>
              <w:t>30</w:t>
            </w:r>
          </w:p>
        </w:tc>
      </w:tr>
      <w:tr w:rsidR="008B7728" w14:paraId="5282AFDD" w14:textId="77777777" w:rsidTr="00E63DD8">
        <w:trPr>
          <w:trHeight w:val="2754"/>
        </w:trPr>
        <w:tc>
          <w:tcPr>
            <w:tcW w:w="380" w:type="dxa"/>
          </w:tcPr>
          <w:p w14:paraId="3080A15B" w14:textId="77777777" w:rsidR="008B7728" w:rsidRDefault="008B7728" w:rsidP="008E089B">
            <w:pPr>
              <w:spacing w:after="160" w:line="259" w:lineRule="auto"/>
              <w:ind w:left="0"/>
            </w:pPr>
          </w:p>
        </w:tc>
        <w:tc>
          <w:tcPr>
            <w:tcW w:w="8337" w:type="dxa"/>
            <w:gridSpan w:val="2"/>
          </w:tcPr>
          <w:p w14:paraId="51BAE883" w14:textId="013F7867" w:rsidR="008B7728" w:rsidRDefault="00464035" w:rsidP="008E089B">
            <w:pPr>
              <w:spacing w:after="159" w:line="216" w:lineRule="auto"/>
              <w:ind w:left="5" w:firstLine="19"/>
            </w:pPr>
            <w:r>
              <w:rPr>
                <w:sz w:val="28"/>
              </w:rPr>
              <w:t>If</w:t>
            </w:r>
            <w:r w:rsidR="00285635">
              <w:rPr>
                <w:sz w:val="28"/>
              </w:rPr>
              <w:t xml:space="preserve"> </w:t>
            </w:r>
            <w:r>
              <w:rPr>
                <w:sz w:val="28"/>
              </w:rPr>
              <w:t>an entity</w:t>
            </w:r>
            <w:r w:rsidR="0083355A">
              <w:rPr>
                <w:sz w:val="28"/>
              </w:rPr>
              <w:t xml:space="preserve"> </w:t>
            </w:r>
            <w:r>
              <w:rPr>
                <w:sz w:val="28"/>
              </w:rPr>
              <w:t>fails to submit the assets registers or</w:t>
            </w:r>
            <w:r w:rsidR="0083355A">
              <w:rPr>
                <w:sz w:val="28"/>
              </w:rPr>
              <w:t xml:space="preserve"> </w:t>
            </w:r>
            <w:r>
              <w:rPr>
                <w:sz w:val="28"/>
              </w:rPr>
              <w:t>fails to adhere to the prescribed</w:t>
            </w:r>
            <w:r w:rsidR="0083355A">
              <w:rPr>
                <w:sz w:val="28"/>
              </w:rPr>
              <w:t xml:space="preserve"> </w:t>
            </w:r>
            <w:r>
              <w:rPr>
                <w:sz w:val="28"/>
              </w:rPr>
              <w:t>format, no score will be awarded</w:t>
            </w:r>
            <w:r w:rsidR="0083355A">
              <w:rPr>
                <w:sz w:val="28"/>
              </w:rPr>
              <w:t xml:space="preserve"> </w:t>
            </w:r>
            <w:r>
              <w:rPr>
                <w:sz w:val="28"/>
              </w:rPr>
              <w:t>for this activity.</w:t>
            </w:r>
          </w:p>
          <w:p w14:paraId="0A76DC3C" w14:textId="77777777" w:rsidR="008B7728" w:rsidRDefault="00464035" w:rsidP="008E089B">
            <w:pPr>
              <w:spacing w:line="244" w:lineRule="auto"/>
              <w:ind w:left="33" w:hanging="14"/>
            </w:pPr>
            <w:r>
              <w:rPr>
                <w:sz w:val="28"/>
              </w:rPr>
              <w:t>In case an MDA does not have any asset in a category, it should be indicated NONE in that particular reporting template.</w:t>
            </w:r>
          </w:p>
          <w:p w14:paraId="0CEB99D4" w14:textId="7AFAAD54" w:rsidR="008B7728" w:rsidRDefault="00464035" w:rsidP="008E089B">
            <w:pPr>
              <w:spacing w:after="0" w:line="259" w:lineRule="auto"/>
              <w:ind w:left="0" w:right="182" w:firstLine="19"/>
            </w:pPr>
            <w:r>
              <w:rPr>
                <w:sz w:val="28"/>
              </w:rPr>
              <w:t>If</w:t>
            </w:r>
            <w:r w:rsidR="00285635">
              <w:rPr>
                <w:sz w:val="28"/>
              </w:rPr>
              <w:t xml:space="preserve"> </w:t>
            </w:r>
            <w:r>
              <w:rPr>
                <w:sz w:val="28"/>
              </w:rPr>
              <w:t>an entity does not have ownership documents for land, building and motor vehicle, status report on documents' acquisition process should be provided.</w:t>
            </w:r>
          </w:p>
        </w:tc>
        <w:tc>
          <w:tcPr>
            <w:tcW w:w="1142" w:type="dxa"/>
          </w:tcPr>
          <w:p w14:paraId="45791E0D" w14:textId="77777777" w:rsidR="008B7728" w:rsidRDefault="008B7728" w:rsidP="008E089B">
            <w:pPr>
              <w:spacing w:after="160" w:line="259" w:lineRule="auto"/>
              <w:ind w:left="0"/>
            </w:pPr>
          </w:p>
        </w:tc>
      </w:tr>
      <w:tr w:rsidR="008B7728" w14:paraId="784C832B" w14:textId="77777777" w:rsidTr="00E63DD8">
        <w:trPr>
          <w:trHeight w:val="1628"/>
        </w:trPr>
        <w:tc>
          <w:tcPr>
            <w:tcW w:w="380" w:type="dxa"/>
          </w:tcPr>
          <w:p w14:paraId="7AA194A3" w14:textId="77777777" w:rsidR="008B7728" w:rsidRDefault="00464035" w:rsidP="008E089B">
            <w:pPr>
              <w:spacing w:after="0" w:line="259" w:lineRule="auto"/>
              <w:ind w:left="29"/>
            </w:pPr>
            <w:r>
              <w:lastRenderedPageBreak/>
              <w:t>3.</w:t>
            </w:r>
          </w:p>
        </w:tc>
        <w:tc>
          <w:tcPr>
            <w:tcW w:w="4424" w:type="dxa"/>
          </w:tcPr>
          <w:p w14:paraId="23D02BE0" w14:textId="77777777" w:rsidR="008B7728" w:rsidRDefault="00464035" w:rsidP="008E089B">
            <w:pPr>
              <w:spacing w:after="163" w:line="259" w:lineRule="auto"/>
              <w:ind w:left="29"/>
            </w:pPr>
            <w:r>
              <w:t>Idle Assets disposed.</w:t>
            </w:r>
          </w:p>
          <w:p w14:paraId="042FF131" w14:textId="77777777" w:rsidR="008B7728" w:rsidRDefault="00464035" w:rsidP="008E089B">
            <w:pPr>
              <w:spacing w:after="0" w:line="259" w:lineRule="auto"/>
              <w:ind w:left="24"/>
            </w:pPr>
            <w:r>
              <w:t>Preparation and submission of Annual</w:t>
            </w:r>
          </w:p>
          <w:p w14:paraId="3E449CD9" w14:textId="77777777" w:rsidR="008B7728" w:rsidRDefault="00464035" w:rsidP="008E089B">
            <w:pPr>
              <w:spacing w:after="0" w:line="259" w:lineRule="auto"/>
              <w:ind w:left="24" w:hanging="5"/>
            </w:pPr>
            <w:r>
              <w:t xml:space="preserve">Asset Disposal Plan to </w:t>
            </w:r>
            <w:r>
              <w:rPr>
                <w:u w:val="single" w:color="000000"/>
              </w:rPr>
              <w:t>nalm@treasury.go.ke</w:t>
            </w:r>
          </w:p>
        </w:tc>
        <w:tc>
          <w:tcPr>
            <w:tcW w:w="3913" w:type="dxa"/>
          </w:tcPr>
          <w:p w14:paraId="69420593" w14:textId="77777777" w:rsidR="008B7728" w:rsidRDefault="00464035" w:rsidP="008E089B">
            <w:pPr>
              <w:spacing w:after="4" w:line="259" w:lineRule="auto"/>
              <w:ind w:left="43"/>
            </w:pPr>
            <w:r>
              <w:t>Submission of approved Annual</w:t>
            </w:r>
          </w:p>
          <w:p w14:paraId="24DCC2F4" w14:textId="0BA9BE9B" w:rsidR="008B7728" w:rsidRDefault="00464035" w:rsidP="008E089B">
            <w:pPr>
              <w:spacing w:after="0" w:line="259" w:lineRule="auto"/>
              <w:ind w:left="29" w:right="278" w:firstLine="5"/>
            </w:pPr>
            <w:r>
              <w:t>Disposal Plan in line with PPAD Act and PPAD Regulations 2020 by 15</w:t>
            </w:r>
            <w:r w:rsidR="00997176">
              <w:rPr>
                <w:vertAlign w:val="superscript"/>
              </w:rPr>
              <w:t xml:space="preserve">th </w:t>
            </w:r>
            <w:r>
              <w:t>October 202</w:t>
            </w:r>
            <w:r w:rsidR="00285635">
              <w:t>6</w:t>
            </w:r>
            <w:r>
              <w:t>.</w:t>
            </w:r>
          </w:p>
        </w:tc>
        <w:tc>
          <w:tcPr>
            <w:tcW w:w="1142" w:type="dxa"/>
          </w:tcPr>
          <w:p w14:paraId="442FC95B" w14:textId="77777777" w:rsidR="008B7728" w:rsidRDefault="00464035" w:rsidP="008E089B">
            <w:pPr>
              <w:spacing w:after="0" w:line="259" w:lineRule="auto"/>
              <w:ind w:left="53"/>
            </w:pPr>
            <w:r>
              <w:rPr>
                <w:sz w:val="28"/>
              </w:rPr>
              <w:t>10</w:t>
            </w:r>
          </w:p>
        </w:tc>
      </w:tr>
      <w:tr w:rsidR="008B7728" w14:paraId="1AD1008A" w14:textId="77777777" w:rsidTr="00E63DD8">
        <w:tblPrEx>
          <w:tblCellMar>
            <w:top w:w="29" w:type="dxa"/>
            <w:left w:w="93" w:type="dxa"/>
            <w:right w:w="209" w:type="dxa"/>
          </w:tblCellMar>
        </w:tblPrEx>
        <w:trPr>
          <w:trHeight w:val="6021"/>
        </w:trPr>
        <w:tc>
          <w:tcPr>
            <w:tcW w:w="380" w:type="dxa"/>
          </w:tcPr>
          <w:p w14:paraId="2A510408" w14:textId="77777777" w:rsidR="008B7728" w:rsidRDefault="008B7728" w:rsidP="008E089B">
            <w:pPr>
              <w:spacing w:after="160" w:line="259" w:lineRule="auto"/>
              <w:ind w:left="0"/>
            </w:pPr>
          </w:p>
        </w:tc>
        <w:tc>
          <w:tcPr>
            <w:tcW w:w="4424" w:type="dxa"/>
          </w:tcPr>
          <w:p w14:paraId="011460AE" w14:textId="77777777" w:rsidR="008B7728" w:rsidRDefault="00464035" w:rsidP="008E089B">
            <w:pPr>
              <w:spacing w:after="170" w:line="259" w:lineRule="auto"/>
              <w:ind w:left="0"/>
            </w:pPr>
            <w:r>
              <w:t>Disposal Status Report</w:t>
            </w:r>
          </w:p>
          <w:p w14:paraId="05CDA86A" w14:textId="77777777" w:rsidR="008B7728" w:rsidRDefault="00464035" w:rsidP="008E089B">
            <w:pPr>
              <w:spacing w:after="0" w:line="259" w:lineRule="auto"/>
              <w:ind w:left="10" w:hanging="10"/>
            </w:pPr>
            <w:r>
              <w:t xml:space="preserve">to be submitted to </w:t>
            </w:r>
            <w:r>
              <w:rPr>
                <w:u w:val="single" w:color="000000"/>
              </w:rPr>
              <w:t>nalm@treasurv.go.ke</w:t>
            </w:r>
          </w:p>
        </w:tc>
        <w:tc>
          <w:tcPr>
            <w:tcW w:w="3913" w:type="dxa"/>
          </w:tcPr>
          <w:p w14:paraId="3DC29CA3" w14:textId="7C368A75" w:rsidR="008B7728" w:rsidRDefault="00464035" w:rsidP="008E089B">
            <w:pPr>
              <w:spacing w:after="26" w:line="251" w:lineRule="auto"/>
              <w:ind w:left="723" w:right="24" w:hanging="5"/>
            </w:pPr>
            <w:r>
              <w:t>Disposal implementation process (Evidence will include establishment of disposal committee, request to departments for identification of</w:t>
            </w:r>
            <w:r w:rsidR="0083355A">
              <w:t xml:space="preserve"> </w:t>
            </w:r>
            <w:r>
              <w:t>items for disposal)</w:t>
            </w:r>
          </w:p>
          <w:p w14:paraId="6DFFEC0A" w14:textId="3AF2299D" w:rsidR="008B7728" w:rsidRDefault="00464035" w:rsidP="008E089B">
            <w:pPr>
              <w:spacing w:after="0" w:line="255" w:lineRule="auto"/>
              <w:ind w:left="733" w:right="48"/>
            </w:pPr>
            <w:r>
              <w:t xml:space="preserve">Disposal Report- (Evidence will include tender notice, </w:t>
            </w:r>
            <w:r w:rsidR="004F1ECB">
              <w:t>bid</w:t>
            </w:r>
            <w:r>
              <w:t xml:space="preserve"> invitation, letter of award)</w:t>
            </w:r>
          </w:p>
          <w:p w14:paraId="0E0F3FE2" w14:textId="77777777" w:rsidR="008B7728" w:rsidRDefault="00464035" w:rsidP="008E089B">
            <w:pPr>
              <w:spacing w:after="0" w:line="259" w:lineRule="auto"/>
              <w:ind w:left="713" w:firstLine="24"/>
            </w:pPr>
            <w:r>
              <w:t>Disposal process closure report. (Disposal proceeds, destruction certificate, offer/acceptance letters, payment receipts, asset release letter, asset transfer documents etc.)</w:t>
            </w:r>
          </w:p>
        </w:tc>
        <w:tc>
          <w:tcPr>
            <w:tcW w:w="1142" w:type="dxa"/>
          </w:tcPr>
          <w:p w14:paraId="7A128B81" w14:textId="77777777" w:rsidR="008B7728" w:rsidRDefault="00464035" w:rsidP="008E089B">
            <w:pPr>
              <w:spacing w:after="2060" w:line="259" w:lineRule="auto"/>
              <w:ind w:left="5"/>
            </w:pPr>
            <w:r>
              <w:rPr>
                <w:sz w:val="28"/>
              </w:rPr>
              <w:t>5</w:t>
            </w:r>
          </w:p>
          <w:p w14:paraId="347EBBDD" w14:textId="77777777" w:rsidR="008B7728" w:rsidRDefault="00464035" w:rsidP="008E089B">
            <w:pPr>
              <w:spacing w:after="1095" w:line="259" w:lineRule="auto"/>
              <w:ind w:left="24"/>
            </w:pPr>
            <w:r>
              <w:rPr>
                <w:sz w:val="28"/>
              </w:rPr>
              <w:t>10</w:t>
            </w:r>
          </w:p>
          <w:p w14:paraId="7CF9EB9E" w14:textId="77777777" w:rsidR="008B7728" w:rsidRDefault="00464035" w:rsidP="008E089B">
            <w:pPr>
              <w:spacing w:after="0" w:line="259" w:lineRule="auto"/>
              <w:ind w:left="34"/>
            </w:pPr>
            <w:r>
              <w:rPr>
                <w:sz w:val="28"/>
              </w:rPr>
              <w:t>15</w:t>
            </w:r>
          </w:p>
        </w:tc>
      </w:tr>
      <w:tr w:rsidR="008B7728" w14:paraId="65C35260" w14:textId="77777777" w:rsidTr="00E63DD8">
        <w:tblPrEx>
          <w:tblCellMar>
            <w:top w:w="29" w:type="dxa"/>
            <w:left w:w="93" w:type="dxa"/>
            <w:right w:w="209" w:type="dxa"/>
          </w:tblCellMar>
        </w:tblPrEx>
        <w:trPr>
          <w:trHeight w:val="2429"/>
        </w:trPr>
        <w:tc>
          <w:tcPr>
            <w:tcW w:w="380" w:type="dxa"/>
          </w:tcPr>
          <w:p w14:paraId="5F0E7696" w14:textId="77777777" w:rsidR="008B7728" w:rsidRDefault="008B7728" w:rsidP="008E089B">
            <w:pPr>
              <w:spacing w:after="160" w:line="259" w:lineRule="auto"/>
              <w:ind w:left="0"/>
            </w:pPr>
          </w:p>
        </w:tc>
        <w:tc>
          <w:tcPr>
            <w:tcW w:w="8337" w:type="dxa"/>
            <w:gridSpan w:val="2"/>
          </w:tcPr>
          <w:p w14:paraId="48E84B22" w14:textId="07D11C47" w:rsidR="008B7728" w:rsidRDefault="00464035" w:rsidP="008E089B">
            <w:pPr>
              <w:spacing w:after="131" w:line="244" w:lineRule="auto"/>
              <w:ind w:left="20" w:hanging="10"/>
            </w:pPr>
            <w:r>
              <w:rPr>
                <w:sz w:val="28"/>
              </w:rPr>
              <w:t>If an entity</w:t>
            </w:r>
            <w:r w:rsidR="0083355A">
              <w:rPr>
                <w:sz w:val="28"/>
              </w:rPr>
              <w:t xml:space="preserve"> </w:t>
            </w:r>
            <w:r>
              <w:rPr>
                <w:sz w:val="28"/>
              </w:rPr>
              <w:t>fails to submit the annual asset disposal reports no score will be awarded</w:t>
            </w:r>
            <w:r w:rsidR="0083355A">
              <w:rPr>
                <w:sz w:val="28"/>
              </w:rPr>
              <w:t xml:space="preserve"> </w:t>
            </w:r>
            <w:r>
              <w:rPr>
                <w:sz w:val="28"/>
              </w:rPr>
              <w:t>for this activity.</w:t>
            </w:r>
          </w:p>
          <w:p w14:paraId="12972DBF" w14:textId="77777777" w:rsidR="008B7728" w:rsidRDefault="00464035" w:rsidP="008E089B">
            <w:pPr>
              <w:spacing w:after="0" w:line="259" w:lineRule="auto"/>
              <w:ind w:left="19" w:right="216" w:firstLine="5"/>
            </w:pPr>
            <w:r>
              <w:rPr>
                <w:sz w:val="28"/>
              </w:rPr>
              <w:t>For the documentation in this activity, entities should send soft copy extracts with key information. Actual documents will be verified during sampled verification exercises.</w:t>
            </w:r>
          </w:p>
        </w:tc>
        <w:tc>
          <w:tcPr>
            <w:tcW w:w="1142" w:type="dxa"/>
          </w:tcPr>
          <w:p w14:paraId="4CC2BC6C" w14:textId="77777777" w:rsidR="008B7728" w:rsidRDefault="008B7728" w:rsidP="008E089B">
            <w:pPr>
              <w:spacing w:after="160" w:line="259" w:lineRule="auto"/>
              <w:ind w:left="0"/>
            </w:pPr>
          </w:p>
        </w:tc>
      </w:tr>
    </w:tbl>
    <w:p w14:paraId="691A45FA" w14:textId="77777777" w:rsidR="002B6F61" w:rsidRDefault="002B6F61" w:rsidP="008E089B">
      <w:pPr>
        <w:ind w:left="206" w:right="14"/>
      </w:pPr>
    </w:p>
    <w:p w14:paraId="113C103C" w14:textId="643FA8C2" w:rsidR="008B7728" w:rsidRDefault="00464035" w:rsidP="008E089B">
      <w:pPr>
        <w:ind w:left="206" w:right="14"/>
      </w:pPr>
      <w:r>
        <w:t xml:space="preserve">NB: All reports to be submitted to the National Treasury through the official email </w:t>
      </w:r>
      <w:r>
        <w:rPr>
          <w:u w:val="single" w:color="000000"/>
        </w:rPr>
        <w:t>nalm@</w:t>
      </w:r>
      <w:r w:rsidR="002B6F61">
        <w:rPr>
          <w:u w:val="single" w:color="000000"/>
        </w:rPr>
        <w:t>treasury</w:t>
      </w:r>
      <w:r>
        <w:rPr>
          <w:u w:val="single" w:color="000000"/>
        </w:rPr>
        <w:t>.go.ke.</w:t>
      </w:r>
    </w:p>
    <w:sectPr w:rsidR="008B7728" w:rsidSect="00E83137">
      <w:footerReference w:type="even" r:id="rId18"/>
      <w:footerReference w:type="default" r:id="rId19"/>
      <w:footerReference w:type="first" r:id="rId20"/>
      <w:pgSz w:w="11904" w:h="16834"/>
      <w:pgMar w:top="1620" w:right="1234" w:bottom="2695" w:left="1075" w:header="72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76D44" w14:textId="77777777" w:rsidR="00B71BA8" w:rsidRDefault="00B71BA8">
      <w:pPr>
        <w:spacing w:after="0" w:line="240" w:lineRule="auto"/>
      </w:pPr>
      <w:r>
        <w:separator/>
      </w:r>
    </w:p>
  </w:endnote>
  <w:endnote w:type="continuationSeparator" w:id="0">
    <w:p w14:paraId="44FB0BD7" w14:textId="77777777" w:rsidR="00B71BA8" w:rsidRDefault="00B71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0BCEC" w14:textId="77777777" w:rsidR="008B7728" w:rsidRDefault="00464035">
    <w:pPr>
      <w:spacing w:after="0" w:line="259" w:lineRule="auto"/>
      <w:ind w:left="125"/>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CBEB5" w14:textId="77777777" w:rsidR="008B7728" w:rsidRDefault="008B7728">
    <w:pPr>
      <w:spacing w:after="160" w:line="259" w:lineRule="auto"/>
      <w:ind w:lef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2A30" w14:textId="77777777" w:rsidR="008B7728" w:rsidRDefault="008B7728">
    <w:pPr>
      <w:spacing w:after="160" w:line="259" w:lineRule="auto"/>
      <w:ind w:left="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CD0FB" w14:textId="77777777" w:rsidR="008B7728" w:rsidRDefault="00464035">
    <w:pPr>
      <w:spacing w:after="0" w:line="259" w:lineRule="auto"/>
      <w:ind w:left="206"/>
      <w:jc w:val="center"/>
    </w:pPr>
    <w:r>
      <w:fldChar w:fldCharType="begin"/>
    </w:r>
    <w:r>
      <w:instrText xml:space="preserve"> PAGE   \* MERGEFORMAT </w:instrText>
    </w:r>
    <w:r>
      <w:fldChar w:fldCharType="separate"/>
    </w:r>
    <w:r>
      <w:rPr>
        <w:sz w:val="22"/>
      </w:rPr>
      <w:t>2</w:t>
    </w:r>
    <w:r>
      <w:rPr>
        <w:sz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A438" w14:textId="77777777" w:rsidR="008B7728" w:rsidRDefault="00464035">
    <w:pPr>
      <w:spacing w:after="0" w:line="259" w:lineRule="auto"/>
      <w:ind w:left="206"/>
      <w:jc w:val="center"/>
    </w:pPr>
    <w:r>
      <w:fldChar w:fldCharType="begin"/>
    </w:r>
    <w:r>
      <w:instrText xml:space="preserve"> PAGE   \* MERGEFORMAT </w:instrText>
    </w:r>
    <w:r>
      <w:fldChar w:fldCharType="separate"/>
    </w:r>
    <w:r>
      <w:rPr>
        <w:sz w:val="22"/>
      </w:rPr>
      <w:t>2</w:t>
    </w:r>
    <w:r>
      <w:rPr>
        <w:sz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53A68" w14:textId="77777777" w:rsidR="008B7728" w:rsidRDefault="00464035">
    <w:pPr>
      <w:spacing w:after="0" w:line="259" w:lineRule="auto"/>
      <w:ind w:left="206"/>
      <w:jc w:val="center"/>
    </w:pPr>
    <w:r>
      <w:fldChar w:fldCharType="begin"/>
    </w:r>
    <w:r>
      <w:instrText xml:space="preserve"> PAGE   \* MERGEFORMAT </w:instrText>
    </w:r>
    <w:r>
      <w:fldChar w:fldCharType="separate"/>
    </w:r>
    <w:r>
      <w:rPr>
        <w:sz w:val="22"/>
      </w:rPr>
      <w:t>2</w:t>
    </w:r>
    <w:r>
      <w:rP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4BD7" w14:textId="77777777" w:rsidR="00B71BA8" w:rsidRDefault="00B71BA8">
      <w:pPr>
        <w:spacing w:after="0" w:line="240" w:lineRule="auto"/>
      </w:pPr>
      <w:r>
        <w:separator/>
      </w:r>
    </w:p>
  </w:footnote>
  <w:footnote w:type="continuationSeparator" w:id="0">
    <w:p w14:paraId="61A2F1BE" w14:textId="77777777" w:rsidR="00B71BA8" w:rsidRDefault="00B71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pt;height:.5pt;visibility:visible;mso-wrap-style:square" o:bullet="t">
        <v:imagedata r:id="rId1" o:title=""/>
      </v:shape>
    </w:pict>
  </w:numPicBullet>
  <w:abstractNum w:abstractNumId="0" w15:restartNumberingAfterBreak="0">
    <w:nsid w:val="03F02C2A"/>
    <w:multiLevelType w:val="hybridMultilevel"/>
    <w:tmpl w:val="E7985610"/>
    <w:lvl w:ilvl="0" w:tplc="F5C4E748">
      <w:start w:val="2"/>
      <w:numFmt w:val="decimal"/>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602AB6">
      <w:start w:val="1"/>
      <w:numFmt w:val="lowerLetter"/>
      <w:lvlText w:val="%2"/>
      <w:lvlJc w:val="left"/>
      <w:pPr>
        <w:ind w:left="1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22F14">
      <w:start w:val="1"/>
      <w:numFmt w:val="lowerRoman"/>
      <w:lvlText w:val="%3"/>
      <w:lvlJc w:val="left"/>
      <w:pPr>
        <w:ind w:left="2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003874">
      <w:start w:val="1"/>
      <w:numFmt w:val="decimal"/>
      <w:lvlText w:val="%4"/>
      <w:lvlJc w:val="left"/>
      <w:pPr>
        <w:ind w:left="2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80401A">
      <w:start w:val="1"/>
      <w:numFmt w:val="lowerLetter"/>
      <w:lvlText w:val="%5"/>
      <w:lvlJc w:val="left"/>
      <w:pPr>
        <w:ind w:left="3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E0356C">
      <w:start w:val="1"/>
      <w:numFmt w:val="lowerRoman"/>
      <w:lvlText w:val="%6"/>
      <w:lvlJc w:val="left"/>
      <w:pPr>
        <w:ind w:left="4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03B40">
      <w:start w:val="1"/>
      <w:numFmt w:val="decimal"/>
      <w:lvlText w:val="%7"/>
      <w:lvlJc w:val="left"/>
      <w:pPr>
        <w:ind w:left="5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B26A24">
      <w:start w:val="1"/>
      <w:numFmt w:val="lowerLetter"/>
      <w:lvlText w:val="%8"/>
      <w:lvlJc w:val="left"/>
      <w:pPr>
        <w:ind w:left="5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8949C">
      <w:start w:val="1"/>
      <w:numFmt w:val="lowerRoman"/>
      <w:lvlText w:val="%9"/>
      <w:lvlJc w:val="left"/>
      <w:pPr>
        <w:ind w:left="6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64456F"/>
    <w:multiLevelType w:val="hybridMultilevel"/>
    <w:tmpl w:val="FCD06058"/>
    <w:lvl w:ilvl="0" w:tplc="682E22E4">
      <w:start w:val="1"/>
      <w:numFmt w:val="bullet"/>
      <w:lvlText w:val=""/>
      <w:lvlPicBulletId w:val="0"/>
      <w:lvlJc w:val="left"/>
      <w:pPr>
        <w:tabs>
          <w:tab w:val="num" w:pos="720"/>
        </w:tabs>
        <w:ind w:left="720" w:hanging="360"/>
      </w:pPr>
      <w:rPr>
        <w:rFonts w:ascii="Symbol" w:hAnsi="Symbol" w:hint="default"/>
      </w:rPr>
    </w:lvl>
    <w:lvl w:ilvl="1" w:tplc="DF6CF2AC" w:tentative="1">
      <w:start w:val="1"/>
      <w:numFmt w:val="bullet"/>
      <w:lvlText w:val=""/>
      <w:lvlJc w:val="left"/>
      <w:pPr>
        <w:tabs>
          <w:tab w:val="num" w:pos="1440"/>
        </w:tabs>
        <w:ind w:left="1440" w:hanging="360"/>
      </w:pPr>
      <w:rPr>
        <w:rFonts w:ascii="Symbol" w:hAnsi="Symbol" w:hint="default"/>
      </w:rPr>
    </w:lvl>
    <w:lvl w:ilvl="2" w:tplc="3D06860C" w:tentative="1">
      <w:start w:val="1"/>
      <w:numFmt w:val="bullet"/>
      <w:lvlText w:val=""/>
      <w:lvlJc w:val="left"/>
      <w:pPr>
        <w:tabs>
          <w:tab w:val="num" w:pos="2160"/>
        </w:tabs>
        <w:ind w:left="2160" w:hanging="360"/>
      </w:pPr>
      <w:rPr>
        <w:rFonts w:ascii="Symbol" w:hAnsi="Symbol" w:hint="default"/>
      </w:rPr>
    </w:lvl>
    <w:lvl w:ilvl="3" w:tplc="0FE41DF4" w:tentative="1">
      <w:start w:val="1"/>
      <w:numFmt w:val="bullet"/>
      <w:lvlText w:val=""/>
      <w:lvlJc w:val="left"/>
      <w:pPr>
        <w:tabs>
          <w:tab w:val="num" w:pos="2880"/>
        </w:tabs>
        <w:ind w:left="2880" w:hanging="360"/>
      </w:pPr>
      <w:rPr>
        <w:rFonts w:ascii="Symbol" w:hAnsi="Symbol" w:hint="default"/>
      </w:rPr>
    </w:lvl>
    <w:lvl w:ilvl="4" w:tplc="792859A0" w:tentative="1">
      <w:start w:val="1"/>
      <w:numFmt w:val="bullet"/>
      <w:lvlText w:val=""/>
      <w:lvlJc w:val="left"/>
      <w:pPr>
        <w:tabs>
          <w:tab w:val="num" w:pos="3600"/>
        </w:tabs>
        <w:ind w:left="3600" w:hanging="360"/>
      </w:pPr>
      <w:rPr>
        <w:rFonts w:ascii="Symbol" w:hAnsi="Symbol" w:hint="default"/>
      </w:rPr>
    </w:lvl>
    <w:lvl w:ilvl="5" w:tplc="A4725BE4" w:tentative="1">
      <w:start w:val="1"/>
      <w:numFmt w:val="bullet"/>
      <w:lvlText w:val=""/>
      <w:lvlJc w:val="left"/>
      <w:pPr>
        <w:tabs>
          <w:tab w:val="num" w:pos="4320"/>
        </w:tabs>
        <w:ind w:left="4320" w:hanging="360"/>
      </w:pPr>
      <w:rPr>
        <w:rFonts w:ascii="Symbol" w:hAnsi="Symbol" w:hint="default"/>
      </w:rPr>
    </w:lvl>
    <w:lvl w:ilvl="6" w:tplc="B21A3AD4" w:tentative="1">
      <w:start w:val="1"/>
      <w:numFmt w:val="bullet"/>
      <w:lvlText w:val=""/>
      <w:lvlJc w:val="left"/>
      <w:pPr>
        <w:tabs>
          <w:tab w:val="num" w:pos="5040"/>
        </w:tabs>
        <w:ind w:left="5040" w:hanging="360"/>
      </w:pPr>
      <w:rPr>
        <w:rFonts w:ascii="Symbol" w:hAnsi="Symbol" w:hint="default"/>
      </w:rPr>
    </w:lvl>
    <w:lvl w:ilvl="7" w:tplc="407416DE" w:tentative="1">
      <w:start w:val="1"/>
      <w:numFmt w:val="bullet"/>
      <w:lvlText w:val=""/>
      <w:lvlJc w:val="left"/>
      <w:pPr>
        <w:tabs>
          <w:tab w:val="num" w:pos="5760"/>
        </w:tabs>
        <w:ind w:left="5760" w:hanging="360"/>
      </w:pPr>
      <w:rPr>
        <w:rFonts w:ascii="Symbol" w:hAnsi="Symbol" w:hint="default"/>
      </w:rPr>
    </w:lvl>
    <w:lvl w:ilvl="8" w:tplc="90D25DB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EAF581A"/>
    <w:multiLevelType w:val="hybridMultilevel"/>
    <w:tmpl w:val="00262826"/>
    <w:lvl w:ilvl="0" w:tplc="04090019">
      <w:start w:val="1"/>
      <w:numFmt w:val="lowerLetter"/>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3" w15:restartNumberingAfterBreak="0">
    <w:nsid w:val="1F00701D"/>
    <w:multiLevelType w:val="hybridMultilevel"/>
    <w:tmpl w:val="55644C4A"/>
    <w:lvl w:ilvl="0" w:tplc="A330ED16">
      <w:start w:val="1"/>
      <w:numFmt w:val="decimal"/>
      <w:lvlText w:val="%1."/>
      <w:lvlJc w:val="left"/>
      <w:pPr>
        <w:ind w:left="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FFFFFFF">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FFFFFF">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FFFFF">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FFFFFF">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FFFFFFF">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FFFFFFF">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FFFFFFF">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26B36BB7"/>
    <w:multiLevelType w:val="hybridMultilevel"/>
    <w:tmpl w:val="424A9A70"/>
    <w:lvl w:ilvl="0" w:tplc="37D450DA">
      <w:start w:val="1"/>
      <w:numFmt w:val="lowerLetter"/>
      <w:lvlText w:val="%1."/>
      <w:lvlJc w:val="left"/>
      <w:pPr>
        <w:ind w:left="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BCEE212">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698391A">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90DFBC">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01C764E">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4444D0">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0C5E7E">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2A9A92">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D0C4D58">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2B43552D"/>
    <w:multiLevelType w:val="hybridMultilevel"/>
    <w:tmpl w:val="F1C244CE"/>
    <w:lvl w:ilvl="0" w:tplc="04090019">
      <w:start w:val="1"/>
      <w:numFmt w:val="lowerLetter"/>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6" w15:restartNumberingAfterBreak="0">
    <w:nsid w:val="341E12DD"/>
    <w:multiLevelType w:val="hybridMultilevel"/>
    <w:tmpl w:val="9BB04FE8"/>
    <w:lvl w:ilvl="0" w:tplc="4D423736">
      <w:start w:val="1"/>
      <w:numFmt w:val="decimal"/>
      <w:lvlText w:val="%1."/>
      <w:lvlJc w:val="left"/>
      <w:pPr>
        <w:ind w:left="412" w:hanging="360"/>
      </w:pPr>
      <w:rPr>
        <w:rFonts w:hint="default"/>
      </w:rPr>
    </w:lvl>
    <w:lvl w:ilvl="1" w:tplc="08090019" w:tentative="1">
      <w:start w:val="1"/>
      <w:numFmt w:val="lowerLetter"/>
      <w:lvlText w:val="%2."/>
      <w:lvlJc w:val="left"/>
      <w:pPr>
        <w:ind w:left="1132" w:hanging="360"/>
      </w:pPr>
    </w:lvl>
    <w:lvl w:ilvl="2" w:tplc="0809001B" w:tentative="1">
      <w:start w:val="1"/>
      <w:numFmt w:val="lowerRoman"/>
      <w:lvlText w:val="%3."/>
      <w:lvlJc w:val="right"/>
      <w:pPr>
        <w:ind w:left="1852" w:hanging="180"/>
      </w:pPr>
    </w:lvl>
    <w:lvl w:ilvl="3" w:tplc="0809000F" w:tentative="1">
      <w:start w:val="1"/>
      <w:numFmt w:val="decimal"/>
      <w:lvlText w:val="%4."/>
      <w:lvlJc w:val="left"/>
      <w:pPr>
        <w:ind w:left="2572" w:hanging="360"/>
      </w:pPr>
    </w:lvl>
    <w:lvl w:ilvl="4" w:tplc="08090019" w:tentative="1">
      <w:start w:val="1"/>
      <w:numFmt w:val="lowerLetter"/>
      <w:lvlText w:val="%5."/>
      <w:lvlJc w:val="left"/>
      <w:pPr>
        <w:ind w:left="3292" w:hanging="360"/>
      </w:pPr>
    </w:lvl>
    <w:lvl w:ilvl="5" w:tplc="0809001B" w:tentative="1">
      <w:start w:val="1"/>
      <w:numFmt w:val="lowerRoman"/>
      <w:lvlText w:val="%6."/>
      <w:lvlJc w:val="right"/>
      <w:pPr>
        <w:ind w:left="4012" w:hanging="180"/>
      </w:pPr>
    </w:lvl>
    <w:lvl w:ilvl="6" w:tplc="0809000F" w:tentative="1">
      <w:start w:val="1"/>
      <w:numFmt w:val="decimal"/>
      <w:lvlText w:val="%7."/>
      <w:lvlJc w:val="left"/>
      <w:pPr>
        <w:ind w:left="4732" w:hanging="360"/>
      </w:pPr>
    </w:lvl>
    <w:lvl w:ilvl="7" w:tplc="08090019" w:tentative="1">
      <w:start w:val="1"/>
      <w:numFmt w:val="lowerLetter"/>
      <w:lvlText w:val="%8."/>
      <w:lvlJc w:val="left"/>
      <w:pPr>
        <w:ind w:left="5452" w:hanging="360"/>
      </w:pPr>
    </w:lvl>
    <w:lvl w:ilvl="8" w:tplc="0809001B" w:tentative="1">
      <w:start w:val="1"/>
      <w:numFmt w:val="lowerRoman"/>
      <w:lvlText w:val="%9."/>
      <w:lvlJc w:val="right"/>
      <w:pPr>
        <w:ind w:left="6172" w:hanging="180"/>
      </w:pPr>
    </w:lvl>
  </w:abstractNum>
  <w:abstractNum w:abstractNumId="7" w15:restartNumberingAfterBreak="0">
    <w:nsid w:val="3F671C3D"/>
    <w:multiLevelType w:val="hybridMultilevel"/>
    <w:tmpl w:val="F4341FCE"/>
    <w:lvl w:ilvl="0" w:tplc="A330ED16">
      <w:start w:val="1"/>
      <w:numFmt w:val="decimal"/>
      <w:lvlText w:val="%1."/>
      <w:lvlJc w:val="left"/>
      <w:pPr>
        <w:ind w:left="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F82A690">
      <w:start w:val="1"/>
      <w:numFmt w:val="lowerLetter"/>
      <w:lvlText w:val="%2"/>
      <w:lvlJc w:val="left"/>
      <w:pPr>
        <w:ind w:left="1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F825B8">
      <w:start w:val="1"/>
      <w:numFmt w:val="lowerRoman"/>
      <w:lvlText w:val="%3"/>
      <w:lvlJc w:val="left"/>
      <w:pPr>
        <w:ind w:left="2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46B3D2">
      <w:start w:val="1"/>
      <w:numFmt w:val="decimal"/>
      <w:lvlText w:val="%4"/>
      <w:lvlJc w:val="left"/>
      <w:pPr>
        <w:ind w:left="2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26AD56">
      <w:start w:val="1"/>
      <w:numFmt w:val="lowerLetter"/>
      <w:lvlText w:val="%5"/>
      <w:lvlJc w:val="left"/>
      <w:pPr>
        <w:ind w:left="3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A23192">
      <w:start w:val="1"/>
      <w:numFmt w:val="lowerRoman"/>
      <w:lvlText w:val="%6"/>
      <w:lvlJc w:val="left"/>
      <w:pPr>
        <w:ind w:left="4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DE3100">
      <w:start w:val="1"/>
      <w:numFmt w:val="decimal"/>
      <w:lvlText w:val="%7"/>
      <w:lvlJc w:val="left"/>
      <w:pPr>
        <w:ind w:left="4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64719E">
      <w:start w:val="1"/>
      <w:numFmt w:val="lowerLetter"/>
      <w:lvlText w:val="%8"/>
      <w:lvlJc w:val="left"/>
      <w:pPr>
        <w:ind w:left="5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448394">
      <w:start w:val="1"/>
      <w:numFmt w:val="lowerRoman"/>
      <w:lvlText w:val="%9"/>
      <w:lvlJc w:val="left"/>
      <w:pPr>
        <w:ind w:left="6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0C7523D"/>
    <w:multiLevelType w:val="hybridMultilevel"/>
    <w:tmpl w:val="F31C3B3C"/>
    <w:lvl w:ilvl="0" w:tplc="04090019">
      <w:start w:val="1"/>
      <w:numFmt w:val="lowerLetter"/>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9" w15:restartNumberingAfterBreak="0">
    <w:nsid w:val="5ECB6AB7"/>
    <w:multiLevelType w:val="hybridMultilevel"/>
    <w:tmpl w:val="93188AA8"/>
    <w:lvl w:ilvl="0" w:tplc="0409000F">
      <w:start w:val="1"/>
      <w:numFmt w:val="decimal"/>
      <w:lvlText w:val="%1."/>
      <w:lvlJc w:val="left"/>
      <w:pPr>
        <w:ind w:left="1132" w:hanging="360"/>
      </w:pPr>
    </w:lvl>
    <w:lvl w:ilvl="1" w:tplc="04090019" w:tentative="1">
      <w:start w:val="1"/>
      <w:numFmt w:val="lowerLetter"/>
      <w:lvlText w:val="%2."/>
      <w:lvlJc w:val="left"/>
      <w:pPr>
        <w:ind w:left="1852" w:hanging="360"/>
      </w:pPr>
    </w:lvl>
    <w:lvl w:ilvl="2" w:tplc="0409001B" w:tentative="1">
      <w:start w:val="1"/>
      <w:numFmt w:val="lowerRoman"/>
      <w:lvlText w:val="%3."/>
      <w:lvlJc w:val="right"/>
      <w:pPr>
        <w:ind w:left="2572" w:hanging="180"/>
      </w:pPr>
    </w:lvl>
    <w:lvl w:ilvl="3" w:tplc="0409000F" w:tentative="1">
      <w:start w:val="1"/>
      <w:numFmt w:val="decimal"/>
      <w:lvlText w:val="%4."/>
      <w:lvlJc w:val="left"/>
      <w:pPr>
        <w:ind w:left="3292" w:hanging="360"/>
      </w:pPr>
    </w:lvl>
    <w:lvl w:ilvl="4" w:tplc="04090019" w:tentative="1">
      <w:start w:val="1"/>
      <w:numFmt w:val="lowerLetter"/>
      <w:lvlText w:val="%5."/>
      <w:lvlJc w:val="left"/>
      <w:pPr>
        <w:ind w:left="4012" w:hanging="360"/>
      </w:pPr>
    </w:lvl>
    <w:lvl w:ilvl="5" w:tplc="0409001B" w:tentative="1">
      <w:start w:val="1"/>
      <w:numFmt w:val="lowerRoman"/>
      <w:lvlText w:val="%6."/>
      <w:lvlJc w:val="right"/>
      <w:pPr>
        <w:ind w:left="4732" w:hanging="180"/>
      </w:pPr>
    </w:lvl>
    <w:lvl w:ilvl="6" w:tplc="0409000F" w:tentative="1">
      <w:start w:val="1"/>
      <w:numFmt w:val="decimal"/>
      <w:lvlText w:val="%7."/>
      <w:lvlJc w:val="left"/>
      <w:pPr>
        <w:ind w:left="5452" w:hanging="360"/>
      </w:pPr>
    </w:lvl>
    <w:lvl w:ilvl="7" w:tplc="04090019" w:tentative="1">
      <w:start w:val="1"/>
      <w:numFmt w:val="lowerLetter"/>
      <w:lvlText w:val="%8."/>
      <w:lvlJc w:val="left"/>
      <w:pPr>
        <w:ind w:left="6172" w:hanging="360"/>
      </w:pPr>
    </w:lvl>
    <w:lvl w:ilvl="8" w:tplc="0409001B" w:tentative="1">
      <w:start w:val="1"/>
      <w:numFmt w:val="lowerRoman"/>
      <w:lvlText w:val="%9."/>
      <w:lvlJc w:val="right"/>
      <w:pPr>
        <w:ind w:left="6892" w:hanging="180"/>
      </w:pPr>
    </w:lvl>
  </w:abstractNum>
  <w:abstractNum w:abstractNumId="10" w15:restartNumberingAfterBreak="0">
    <w:nsid w:val="656808CB"/>
    <w:multiLevelType w:val="hybridMultilevel"/>
    <w:tmpl w:val="A34E77C2"/>
    <w:lvl w:ilvl="0" w:tplc="C0C8353E">
      <w:start w:val="1"/>
      <w:numFmt w:val="decimal"/>
      <w:pStyle w:val="Heading1"/>
      <w:lvlText w:val="%1."/>
      <w:lvlJc w:val="left"/>
      <w:pPr>
        <w:ind w:left="-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0374B52A">
      <w:start w:val="1"/>
      <w:numFmt w:val="lowerLetter"/>
      <w:lvlText w:val="%2"/>
      <w:lvlJc w:val="left"/>
      <w:pPr>
        <w:ind w:left="9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1B8826A">
      <w:start w:val="1"/>
      <w:numFmt w:val="lowerRoman"/>
      <w:lvlText w:val="%3"/>
      <w:lvlJc w:val="left"/>
      <w:pPr>
        <w:ind w:left="16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8024856A">
      <w:start w:val="1"/>
      <w:numFmt w:val="decimal"/>
      <w:lvlText w:val="%4"/>
      <w:lvlJc w:val="left"/>
      <w:pPr>
        <w:ind w:left="2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2F05326">
      <w:start w:val="1"/>
      <w:numFmt w:val="lowerLetter"/>
      <w:lvlText w:val="%5"/>
      <w:lvlJc w:val="left"/>
      <w:pPr>
        <w:ind w:left="30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6127AD4">
      <w:start w:val="1"/>
      <w:numFmt w:val="lowerRoman"/>
      <w:lvlText w:val="%6"/>
      <w:lvlJc w:val="left"/>
      <w:pPr>
        <w:ind w:left="3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86DAEE4E">
      <w:start w:val="1"/>
      <w:numFmt w:val="decimal"/>
      <w:lvlText w:val="%7"/>
      <w:lvlJc w:val="left"/>
      <w:pPr>
        <w:ind w:left="4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BF4332E">
      <w:start w:val="1"/>
      <w:numFmt w:val="lowerLetter"/>
      <w:lvlText w:val="%8"/>
      <w:lvlJc w:val="left"/>
      <w:pPr>
        <w:ind w:left="5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0561A32">
      <w:start w:val="1"/>
      <w:numFmt w:val="lowerRoman"/>
      <w:lvlText w:val="%9"/>
      <w:lvlJc w:val="left"/>
      <w:pPr>
        <w:ind w:left="5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1" w15:restartNumberingAfterBreak="0">
    <w:nsid w:val="67987DFB"/>
    <w:multiLevelType w:val="hybridMultilevel"/>
    <w:tmpl w:val="A72A8758"/>
    <w:lvl w:ilvl="0" w:tplc="04090019">
      <w:start w:val="1"/>
      <w:numFmt w:val="lowerLetter"/>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2" w15:restartNumberingAfterBreak="0">
    <w:nsid w:val="6B6F4DF1"/>
    <w:multiLevelType w:val="hybridMultilevel"/>
    <w:tmpl w:val="CDEEAAB2"/>
    <w:lvl w:ilvl="0" w:tplc="1534DB4E">
      <w:start w:val="1"/>
      <w:numFmt w:val="lowerLetter"/>
      <w:lvlText w:val="%1)"/>
      <w:lvlJc w:val="left"/>
      <w:pPr>
        <w:ind w:left="9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5E8C6E8">
      <w:start w:val="1"/>
      <w:numFmt w:val="lowerLetter"/>
      <w:lvlText w:val="%2"/>
      <w:lvlJc w:val="left"/>
      <w:pPr>
        <w:ind w:left="14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D2AA0D8">
      <w:start w:val="1"/>
      <w:numFmt w:val="lowerRoman"/>
      <w:lvlText w:val="%3"/>
      <w:lvlJc w:val="left"/>
      <w:pPr>
        <w:ind w:left="2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06AA04A">
      <w:start w:val="1"/>
      <w:numFmt w:val="decimal"/>
      <w:lvlText w:val="%4"/>
      <w:lvlJc w:val="left"/>
      <w:pPr>
        <w:ind w:left="28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E5051BA">
      <w:start w:val="1"/>
      <w:numFmt w:val="lowerLetter"/>
      <w:lvlText w:val="%5"/>
      <w:lvlJc w:val="left"/>
      <w:pPr>
        <w:ind w:left="36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19CD3B4">
      <w:start w:val="1"/>
      <w:numFmt w:val="lowerRoman"/>
      <w:lvlText w:val="%6"/>
      <w:lvlJc w:val="left"/>
      <w:pPr>
        <w:ind w:left="43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226500">
      <w:start w:val="1"/>
      <w:numFmt w:val="decimal"/>
      <w:lvlText w:val="%7"/>
      <w:lvlJc w:val="left"/>
      <w:pPr>
        <w:ind w:left="50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15C1270">
      <w:start w:val="1"/>
      <w:numFmt w:val="lowerLetter"/>
      <w:lvlText w:val="%8"/>
      <w:lvlJc w:val="left"/>
      <w:pPr>
        <w:ind w:left="57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347342">
      <w:start w:val="1"/>
      <w:numFmt w:val="lowerRoman"/>
      <w:lvlText w:val="%9"/>
      <w:lvlJc w:val="left"/>
      <w:pPr>
        <w:ind w:left="64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16cid:durableId="1982076483">
    <w:abstractNumId w:val="7"/>
  </w:num>
  <w:num w:numId="2" w16cid:durableId="1021785416">
    <w:abstractNumId w:val="0"/>
  </w:num>
  <w:num w:numId="3" w16cid:durableId="91903320">
    <w:abstractNumId w:val="12"/>
  </w:num>
  <w:num w:numId="4" w16cid:durableId="824668976">
    <w:abstractNumId w:val="4"/>
  </w:num>
  <w:num w:numId="5" w16cid:durableId="172652916">
    <w:abstractNumId w:val="10"/>
  </w:num>
  <w:num w:numId="6" w16cid:durableId="7291882">
    <w:abstractNumId w:val="9"/>
  </w:num>
  <w:num w:numId="7" w16cid:durableId="1971276584">
    <w:abstractNumId w:val="1"/>
  </w:num>
  <w:num w:numId="8" w16cid:durableId="754014142">
    <w:abstractNumId w:val="6"/>
  </w:num>
  <w:num w:numId="9" w16cid:durableId="1653748679">
    <w:abstractNumId w:val="2"/>
  </w:num>
  <w:num w:numId="10" w16cid:durableId="1387533364">
    <w:abstractNumId w:val="8"/>
  </w:num>
  <w:num w:numId="11" w16cid:durableId="909658686">
    <w:abstractNumId w:val="11"/>
  </w:num>
  <w:num w:numId="12" w16cid:durableId="967665114">
    <w:abstractNumId w:val="5"/>
  </w:num>
  <w:num w:numId="13" w16cid:durableId="12108431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728"/>
    <w:rsid w:val="00043248"/>
    <w:rsid w:val="00082F7E"/>
    <w:rsid w:val="000C3191"/>
    <w:rsid w:val="000C7B36"/>
    <w:rsid w:val="000D69FC"/>
    <w:rsid w:val="000F6BBB"/>
    <w:rsid w:val="001276E6"/>
    <w:rsid w:val="001414C4"/>
    <w:rsid w:val="001523C3"/>
    <w:rsid w:val="001560C5"/>
    <w:rsid w:val="001604DD"/>
    <w:rsid w:val="0016511D"/>
    <w:rsid w:val="00167594"/>
    <w:rsid w:val="00174C07"/>
    <w:rsid w:val="001854FC"/>
    <w:rsid w:val="001C72FC"/>
    <w:rsid w:val="001D22AC"/>
    <w:rsid w:val="001E5D5C"/>
    <w:rsid w:val="001F52C4"/>
    <w:rsid w:val="00200B2F"/>
    <w:rsid w:val="00200CD4"/>
    <w:rsid w:val="0020438B"/>
    <w:rsid w:val="00211BD0"/>
    <w:rsid w:val="002149D2"/>
    <w:rsid w:val="0022119E"/>
    <w:rsid w:val="00231422"/>
    <w:rsid w:val="002638A9"/>
    <w:rsid w:val="002761DA"/>
    <w:rsid w:val="00282EA6"/>
    <w:rsid w:val="00285635"/>
    <w:rsid w:val="002862E5"/>
    <w:rsid w:val="002A04D6"/>
    <w:rsid w:val="002A548A"/>
    <w:rsid w:val="002A5935"/>
    <w:rsid w:val="002A63EA"/>
    <w:rsid w:val="002B6F61"/>
    <w:rsid w:val="002D37EE"/>
    <w:rsid w:val="002E00EA"/>
    <w:rsid w:val="00321BA9"/>
    <w:rsid w:val="003538D6"/>
    <w:rsid w:val="00360F51"/>
    <w:rsid w:val="003877CF"/>
    <w:rsid w:val="00395109"/>
    <w:rsid w:val="003A2B13"/>
    <w:rsid w:val="00412709"/>
    <w:rsid w:val="00443236"/>
    <w:rsid w:val="00450A9A"/>
    <w:rsid w:val="00463AC2"/>
    <w:rsid w:val="00464035"/>
    <w:rsid w:val="00486C37"/>
    <w:rsid w:val="0049254D"/>
    <w:rsid w:val="004A4478"/>
    <w:rsid w:val="004C0D20"/>
    <w:rsid w:val="004D7743"/>
    <w:rsid w:val="004F1362"/>
    <w:rsid w:val="004F1ECB"/>
    <w:rsid w:val="004F5723"/>
    <w:rsid w:val="00511947"/>
    <w:rsid w:val="00511A89"/>
    <w:rsid w:val="00513F7E"/>
    <w:rsid w:val="005537B0"/>
    <w:rsid w:val="00580A05"/>
    <w:rsid w:val="00581D06"/>
    <w:rsid w:val="00590156"/>
    <w:rsid w:val="00597081"/>
    <w:rsid w:val="005A19AA"/>
    <w:rsid w:val="005D2A70"/>
    <w:rsid w:val="005D3DC9"/>
    <w:rsid w:val="005D4DC3"/>
    <w:rsid w:val="00614509"/>
    <w:rsid w:val="0061453E"/>
    <w:rsid w:val="00621CC4"/>
    <w:rsid w:val="00630B0D"/>
    <w:rsid w:val="00632876"/>
    <w:rsid w:val="00634FBD"/>
    <w:rsid w:val="00652CD6"/>
    <w:rsid w:val="0065704D"/>
    <w:rsid w:val="00661F01"/>
    <w:rsid w:val="00685921"/>
    <w:rsid w:val="006A1AE4"/>
    <w:rsid w:val="006C6C27"/>
    <w:rsid w:val="006D063E"/>
    <w:rsid w:val="006D1F83"/>
    <w:rsid w:val="006E4731"/>
    <w:rsid w:val="006F7B54"/>
    <w:rsid w:val="007015B3"/>
    <w:rsid w:val="00742C18"/>
    <w:rsid w:val="0076271E"/>
    <w:rsid w:val="00775DC4"/>
    <w:rsid w:val="007A7F9B"/>
    <w:rsid w:val="007B0318"/>
    <w:rsid w:val="008042F1"/>
    <w:rsid w:val="00820635"/>
    <w:rsid w:val="00825DB4"/>
    <w:rsid w:val="00832322"/>
    <w:rsid w:val="0083355A"/>
    <w:rsid w:val="008726DF"/>
    <w:rsid w:val="008849E5"/>
    <w:rsid w:val="00894C5F"/>
    <w:rsid w:val="008B3278"/>
    <w:rsid w:val="008B5795"/>
    <w:rsid w:val="008B7728"/>
    <w:rsid w:val="008E089B"/>
    <w:rsid w:val="008F2428"/>
    <w:rsid w:val="00902EE4"/>
    <w:rsid w:val="009100E0"/>
    <w:rsid w:val="00937EBD"/>
    <w:rsid w:val="00941001"/>
    <w:rsid w:val="00965DD2"/>
    <w:rsid w:val="00971513"/>
    <w:rsid w:val="0098474E"/>
    <w:rsid w:val="009922E3"/>
    <w:rsid w:val="00997176"/>
    <w:rsid w:val="009B285C"/>
    <w:rsid w:val="009B2911"/>
    <w:rsid w:val="009D6B05"/>
    <w:rsid w:val="009E38FD"/>
    <w:rsid w:val="00A02696"/>
    <w:rsid w:val="00A0770F"/>
    <w:rsid w:val="00A17584"/>
    <w:rsid w:val="00A27861"/>
    <w:rsid w:val="00A32C34"/>
    <w:rsid w:val="00A37B80"/>
    <w:rsid w:val="00A44FB2"/>
    <w:rsid w:val="00A4541F"/>
    <w:rsid w:val="00A56FE2"/>
    <w:rsid w:val="00A70232"/>
    <w:rsid w:val="00A71AFC"/>
    <w:rsid w:val="00A94C39"/>
    <w:rsid w:val="00B03765"/>
    <w:rsid w:val="00B135BA"/>
    <w:rsid w:val="00B3491F"/>
    <w:rsid w:val="00B375C2"/>
    <w:rsid w:val="00B4145D"/>
    <w:rsid w:val="00B57115"/>
    <w:rsid w:val="00B610C4"/>
    <w:rsid w:val="00B71BA8"/>
    <w:rsid w:val="00B74901"/>
    <w:rsid w:val="00B7526C"/>
    <w:rsid w:val="00B77FA7"/>
    <w:rsid w:val="00B9522D"/>
    <w:rsid w:val="00B97EAC"/>
    <w:rsid w:val="00BA76E1"/>
    <w:rsid w:val="00BD1F80"/>
    <w:rsid w:val="00BF158B"/>
    <w:rsid w:val="00C203E0"/>
    <w:rsid w:val="00C3017C"/>
    <w:rsid w:val="00C5389F"/>
    <w:rsid w:val="00C6304D"/>
    <w:rsid w:val="00C951AD"/>
    <w:rsid w:val="00CC022D"/>
    <w:rsid w:val="00CC4C9B"/>
    <w:rsid w:val="00CD76A0"/>
    <w:rsid w:val="00D2406E"/>
    <w:rsid w:val="00DA3EF5"/>
    <w:rsid w:val="00DA4F72"/>
    <w:rsid w:val="00DC486A"/>
    <w:rsid w:val="00DC4CBB"/>
    <w:rsid w:val="00DD2828"/>
    <w:rsid w:val="00DE41E2"/>
    <w:rsid w:val="00E00273"/>
    <w:rsid w:val="00E12FF5"/>
    <w:rsid w:val="00E223BB"/>
    <w:rsid w:val="00E42577"/>
    <w:rsid w:val="00E45D41"/>
    <w:rsid w:val="00E5146E"/>
    <w:rsid w:val="00E566BE"/>
    <w:rsid w:val="00E60668"/>
    <w:rsid w:val="00E63DD8"/>
    <w:rsid w:val="00E83137"/>
    <w:rsid w:val="00EA3ED1"/>
    <w:rsid w:val="00EB1F49"/>
    <w:rsid w:val="00EB6EE9"/>
    <w:rsid w:val="00EE3105"/>
    <w:rsid w:val="00EE7FD7"/>
    <w:rsid w:val="00F06636"/>
    <w:rsid w:val="00F24EB1"/>
    <w:rsid w:val="00F32764"/>
    <w:rsid w:val="00F3656F"/>
    <w:rsid w:val="00F45060"/>
    <w:rsid w:val="00F80A9D"/>
    <w:rsid w:val="00F92B9A"/>
    <w:rsid w:val="00F97170"/>
    <w:rsid w:val="00FB0043"/>
    <w:rsid w:val="00FD5545"/>
    <w:rsid w:val="00FD5B51"/>
    <w:rsid w:val="00FF00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154BD"/>
  <w15:docId w15:val="{A708A91D-826A-4A50-9464-729BEF20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6" w:line="257" w:lineRule="auto"/>
      <w:ind w:left="23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qFormat/>
    <w:pPr>
      <w:keepNext/>
      <w:keepLines/>
      <w:numPr>
        <w:numId w:val="5"/>
      </w:numPr>
      <w:spacing w:after="148" w:line="259" w:lineRule="auto"/>
      <w:outlineLvl w:val="0"/>
    </w:pPr>
    <w:rPr>
      <w:rFonts w:ascii="Times New Roman" w:eastAsia="Times New Roman" w:hAnsi="Times New Roman" w:cs="Times New Roman"/>
      <w:color w:val="000000"/>
      <w:sz w:val="28"/>
    </w:rPr>
  </w:style>
  <w:style w:type="paragraph" w:styleId="Heading2">
    <w:name w:val="heading 2"/>
    <w:basedOn w:val="Normal"/>
    <w:next w:val="Normal"/>
    <w:link w:val="Heading2Char"/>
    <w:uiPriority w:val="9"/>
    <w:unhideWhenUsed/>
    <w:qFormat/>
    <w:rsid w:val="004D7743"/>
    <w:pPr>
      <w:keepNext/>
      <w:keepLines/>
      <w:spacing w:before="40" w:after="0"/>
      <w:outlineLvl w:val="1"/>
    </w:pPr>
    <w:rPr>
      <w:rFonts w:asciiTheme="majorHAnsi" w:eastAsiaTheme="majorEastAsia" w:hAnsiTheme="majorHAnsi" w:cstheme="majorBidi"/>
      <w:color w:val="2F5496"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41001"/>
    <w:rPr>
      <w:color w:val="0563C1" w:themeColor="hyperlink"/>
      <w:u w:val="single"/>
    </w:rPr>
  </w:style>
  <w:style w:type="character" w:styleId="UnresolvedMention">
    <w:name w:val="Unresolved Mention"/>
    <w:basedOn w:val="DefaultParagraphFont"/>
    <w:uiPriority w:val="99"/>
    <w:semiHidden/>
    <w:unhideWhenUsed/>
    <w:rsid w:val="00941001"/>
    <w:rPr>
      <w:color w:val="605E5C"/>
      <w:shd w:val="clear" w:color="auto" w:fill="E1DFDD"/>
    </w:rPr>
  </w:style>
  <w:style w:type="paragraph" w:styleId="ListParagraph">
    <w:name w:val="List Paragraph"/>
    <w:basedOn w:val="Normal"/>
    <w:uiPriority w:val="34"/>
    <w:qFormat/>
    <w:rsid w:val="00A17584"/>
    <w:pPr>
      <w:ind w:left="720"/>
      <w:contextualSpacing/>
    </w:pPr>
  </w:style>
  <w:style w:type="paragraph" w:styleId="TOCHeading">
    <w:name w:val="TOC Heading"/>
    <w:basedOn w:val="Heading1"/>
    <w:next w:val="Normal"/>
    <w:uiPriority w:val="39"/>
    <w:unhideWhenUsed/>
    <w:qFormat/>
    <w:rsid w:val="00C6304D"/>
    <w:pPr>
      <w:numPr>
        <w:numId w:val="0"/>
      </w:numPr>
      <w:spacing w:before="240" w:after="0"/>
      <w:outlineLvl w:val="9"/>
    </w:pPr>
    <w:rPr>
      <w:rFonts w:asciiTheme="majorHAnsi" w:eastAsiaTheme="majorEastAsia" w:hAnsiTheme="majorHAnsi" w:cstheme="majorBidi"/>
      <w:color w:val="2F5496" w:themeColor="accent1" w:themeShade="BF"/>
      <w:kern w:val="0"/>
      <w:sz w:val="32"/>
      <w:szCs w:val="32"/>
      <w14:ligatures w14:val="none"/>
    </w:rPr>
  </w:style>
  <w:style w:type="paragraph" w:styleId="TOC1">
    <w:name w:val="toc 1"/>
    <w:basedOn w:val="Normal"/>
    <w:next w:val="Normal"/>
    <w:autoRedefine/>
    <w:uiPriority w:val="39"/>
    <w:unhideWhenUsed/>
    <w:rsid w:val="00C6304D"/>
    <w:pPr>
      <w:spacing w:after="100"/>
      <w:ind w:left="0"/>
    </w:pPr>
  </w:style>
  <w:style w:type="paragraph" w:styleId="TOC2">
    <w:name w:val="toc 2"/>
    <w:basedOn w:val="Normal"/>
    <w:next w:val="Normal"/>
    <w:autoRedefine/>
    <w:uiPriority w:val="39"/>
    <w:unhideWhenUsed/>
    <w:rsid w:val="0049254D"/>
    <w:pPr>
      <w:spacing w:after="100" w:line="259" w:lineRule="auto"/>
      <w:ind w:left="220"/>
      <w:jc w:val="left"/>
    </w:pPr>
    <w:rPr>
      <w:rFonts w:asciiTheme="minorHAnsi" w:eastAsiaTheme="minorEastAsia" w:hAnsiTheme="minorHAnsi"/>
      <w:color w:val="auto"/>
      <w:kern w:val="0"/>
      <w:sz w:val="22"/>
      <w:szCs w:val="22"/>
      <w14:ligatures w14:val="none"/>
    </w:rPr>
  </w:style>
  <w:style w:type="paragraph" w:styleId="TOC3">
    <w:name w:val="toc 3"/>
    <w:basedOn w:val="Normal"/>
    <w:next w:val="Normal"/>
    <w:autoRedefine/>
    <w:uiPriority w:val="39"/>
    <w:unhideWhenUsed/>
    <w:rsid w:val="0049254D"/>
    <w:pPr>
      <w:spacing w:after="100" w:line="259" w:lineRule="auto"/>
      <w:ind w:left="440"/>
      <w:jc w:val="left"/>
    </w:pPr>
    <w:rPr>
      <w:rFonts w:asciiTheme="minorHAnsi" w:eastAsiaTheme="minorEastAsia" w:hAnsiTheme="minorHAnsi"/>
      <w:color w:val="auto"/>
      <w:kern w:val="0"/>
      <w:sz w:val="22"/>
      <w:szCs w:val="22"/>
      <w14:ligatures w14:val="none"/>
    </w:rPr>
  </w:style>
  <w:style w:type="paragraph" w:styleId="TableofFigures">
    <w:name w:val="table of figures"/>
    <w:basedOn w:val="Normal"/>
    <w:next w:val="Normal"/>
    <w:uiPriority w:val="99"/>
    <w:semiHidden/>
    <w:unhideWhenUsed/>
    <w:rsid w:val="006D1F83"/>
    <w:pPr>
      <w:spacing w:after="0"/>
      <w:ind w:left="0"/>
    </w:pPr>
  </w:style>
  <w:style w:type="character" w:customStyle="1" w:styleId="Heading2Char">
    <w:name w:val="Heading 2 Char"/>
    <w:basedOn w:val="DefaultParagraphFont"/>
    <w:link w:val="Heading2"/>
    <w:uiPriority w:val="9"/>
    <w:rsid w:val="004D7743"/>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984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74E"/>
    <w:rPr>
      <w:rFonts w:ascii="Times New Roman" w:eastAsia="Times New Roman" w:hAnsi="Times New Roman" w:cs="Times New Roman"/>
      <w:color w:val="000000"/>
      <w:sz w:val="26"/>
    </w:rPr>
  </w:style>
  <w:style w:type="character" w:styleId="FollowedHyperlink">
    <w:name w:val="FollowedHyperlink"/>
    <w:basedOn w:val="DefaultParagraphFont"/>
    <w:uiPriority w:val="99"/>
    <w:semiHidden/>
    <w:unhideWhenUsed/>
    <w:rsid w:val="00937E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nalm@treasury.go.ke"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reasury.go.ke/nalm" TargetMode="External"/><Relationship Id="rId17" Type="http://schemas.openxmlformats.org/officeDocument/2006/relationships/hyperlink" Target="https://www.treasury.go.ke/nalm" TargetMode="External"/><Relationship Id="rId2" Type="http://schemas.openxmlformats.org/officeDocument/2006/relationships/numbering" Target="numbering.xml"/><Relationship Id="rId16" Type="http://schemas.openxmlformats.org/officeDocument/2006/relationships/image" Target="media/image5.jpg"/><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jp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E1A90-CE60-4454-85AB-349DCE56B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1918</Words>
  <Characters>10938</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Francis Gathanwa</cp:lastModifiedBy>
  <cp:revision>3</cp:revision>
  <cp:lastPrinted>2026-06-15T08:22:00Z</cp:lastPrinted>
  <dcterms:created xsi:type="dcterms:W3CDTF">2026-06-15T08:16:00Z</dcterms:created>
  <dcterms:modified xsi:type="dcterms:W3CDTF">2026-06-15T08:25:00Z</dcterms:modified>
</cp:coreProperties>
</file>