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B301" w14:textId="77777777" w:rsidR="00091FA3" w:rsidRPr="009539C5" w:rsidRDefault="00000000" w:rsidP="00517795">
      <w:pPr>
        <w:spacing w:after="80"/>
        <w:jc w:val="center"/>
        <w:rPr>
          <w:rFonts w:ascii="Tahoma" w:hAnsi="Tahoma" w:cs="Tahoma"/>
          <w:b/>
          <w:bCs/>
          <w:sz w:val="28"/>
          <w:szCs w:val="28"/>
          <w:u w:val="single"/>
        </w:rPr>
      </w:pPr>
      <w:r w:rsidRPr="009539C5">
        <w:rPr>
          <w:rFonts w:ascii="Tahoma" w:hAnsi="Tahoma" w:cs="Tahoma"/>
          <w:b/>
          <w:bCs/>
          <w:sz w:val="28"/>
          <w:szCs w:val="28"/>
          <w:u w:val="single"/>
        </w:rPr>
        <w:t>EXPLANATORY MEMORANDUM</w:t>
      </w:r>
    </w:p>
    <w:p w14:paraId="7C01DE68" w14:textId="77777777" w:rsidR="00B04315" w:rsidRDefault="00B04315" w:rsidP="00B04315">
      <w:pPr>
        <w:jc w:val="center"/>
        <w:rPr>
          <w:rFonts w:ascii="Tahoma" w:hAnsi="Tahoma" w:cs="Tahoma"/>
          <w:b/>
          <w:bCs/>
        </w:rPr>
      </w:pPr>
    </w:p>
    <w:p w14:paraId="6B20EC00" w14:textId="605A1C70" w:rsidR="00091FA3" w:rsidRPr="002047E0" w:rsidRDefault="00000000" w:rsidP="00B04315">
      <w:pPr>
        <w:jc w:val="center"/>
        <w:rPr>
          <w:rFonts w:ascii="Tahoma" w:hAnsi="Tahoma" w:cs="Tahoma"/>
        </w:rPr>
      </w:pPr>
      <w:r w:rsidRPr="002047E0">
        <w:rPr>
          <w:rFonts w:ascii="Tahoma" w:hAnsi="Tahoma" w:cs="Tahoma"/>
          <w:b/>
          <w:bCs/>
        </w:rPr>
        <w:t>EXPLANATORY MEMORANDUM FOR THE PUBLIC FINANCE MANAGEMENT (E-CITIZEN SYSTEM MANAGEMENT) REGULATIONS, 2026</w:t>
      </w:r>
    </w:p>
    <w:p w14:paraId="41BBE47E" w14:textId="77777777" w:rsidR="00A6621E" w:rsidRDefault="00A6621E" w:rsidP="002047E0">
      <w:pPr>
        <w:spacing w:after="120"/>
        <w:jc w:val="center"/>
        <w:rPr>
          <w:rFonts w:ascii="Tahoma" w:hAnsi="Tahoma" w:cs="Tahoma"/>
          <w:b/>
          <w:bCs/>
        </w:rPr>
      </w:pPr>
    </w:p>
    <w:p w14:paraId="690AB681" w14:textId="6F55982D" w:rsidR="00091FA3" w:rsidRPr="002047E0" w:rsidRDefault="00000000" w:rsidP="002047E0">
      <w:pPr>
        <w:spacing w:after="120"/>
        <w:jc w:val="center"/>
        <w:rPr>
          <w:rFonts w:ascii="Tahoma" w:hAnsi="Tahoma" w:cs="Tahoma"/>
        </w:rPr>
      </w:pPr>
      <w:r w:rsidRPr="002047E0">
        <w:rPr>
          <w:rFonts w:ascii="Tahoma" w:hAnsi="Tahoma" w:cs="Tahoma"/>
          <w:b/>
          <w:bCs/>
        </w:rPr>
        <w:t>PART 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091FA3" w:rsidRPr="002047E0" w14:paraId="48E62319" w14:textId="77777777">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B087277" w14:textId="77777777" w:rsidR="00091FA3" w:rsidRPr="002047E0" w:rsidRDefault="00000000" w:rsidP="00480E5E">
            <w:pPr>
              <w:jc w:val="both"/>
              <w:rPr>
                <w:rFonts w:ascii="Tahoma" w:hAnsi="Tahoma" w:cs="Tahoma"/>
              </w:rPr>
            </w:pPr>
            <w:r w:rsidRPr="002047E0">
              <w:rPr>
                <w:rFonts w:ascii="Tahoma" w:hAnsi="Tahoma" w:cs="Tahoma"/>
                <w:b/>
                <w:bCs/>
              </w:rPr>
              <w:t>Name of instrument:</w:t>
            </w:r>
          </w:p>
        </w:tc>
        <w:tc>
          <w:tcPr>
            <w:tcW w:w="65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6E1C25E1" w14:textId="77777777" w:rsidR="00091FA3" w:rsidRPr="002047E0" w:rsidRDefault="00000000" w:rsidP="00480E5E">
            <w:pPr>
              <w:jc w:val="both"/>
              <w:rPr>
                <w:rFonts w:ascii="Tahoma" w:hAnsi="Tahoma" w:cs="Tahoma"/>
              </w:rPr>
            </w:pPr>
            <w:r w:rsidRPr="002047E0">
              <w:rPr>
                <w:rFonts w:ascii="Tahoma" w:hAnsi="Tahoma" w:cs="Tahoma"/>
              </w:rPr>
              <w:t>Public Finance Management (E-Citizen System Management) Regulations, 2026.</w:t>
            </w:r>
          </w:p>
        </w:tc>
      </w:tr>
      <w:tr w:rsidR="00091FA3" w:rsidRPr="002047E0" w14:paraId="0A514A63" w14:textId="77777777">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3FDD4163" w14:textId="77777777" w:rsidR="00091FA3" w:rsidRPr="002047E0" w:rsidRDefault="00000000" w:rsidP="00480E5E">
            <w:pPr>
              <w:jc w:val="both"/>
              <w:rPr>
                <w:rFonts w:ascii="Tahoma" w:hAnsi="Tahoma" w:cs="Tahoma"/>
              </w:rPr>
            </w:pPr>
            <w:r w:rsidRPr="002047E0">
              <w:rPr>
                <w:rFonts w:ascii="Tahoma" w:hAnsi="Tahoma" w:cs="Tahoma"/>
                <w:b/>
                <w:bCs/>
              </w:rPr>
              <w:t>Name of Parent Act:</w:t>
            </w:r>
          </w:p>
        </w:tc>
        <w:tc>
          <w:tcPr>
            <w:tcW w:w="65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0A6181EA" w14:textId="77777777" w:rsidR="00C71E04" w:rsidRDefault="00000000" w:rsidP="00480E5E">
            <w:pPr>
              <w:jc w:val="both"/>
              <w:rPr>
                <w:rFonts w:ascii="Tahoma" w:hAnsi="Tahoma" w:cs="Tahoma"/>
              </w:rPr>
            </w:pPr>
            <w:r w:rsidRPr="002047E0">
              <w:rPr>
                <w:rFonts w:ascii="Tahoma" w:hAnsi="Tahoma" w:cs="Tahoma"/>
              </w:rPr>
              <w:t xml:space="preserve">The Public Finance Management Act </w:t>
            </w:r>
            <w:r w:rsidRPr="002047E0">
              <w:rPr>
                <w:rFonts w:ascii="Tahoma" w:hAnsi="Tahoma" w:cs="Tahoma"/>
                <w:i/>
                <w:iCs/>
              </w:rPr>
              <w:t>(No. 18 of 2012)</w:t>
            </w:r>
            <w:r w:rsidRPr="002047E0">
              <w:rPr>
                <w:rFonts w:ascii="Tahoma" w:hAnsi="Tahoma" w:cs="Tahoma"/>
              </w:rPr>
              <w:t xml:space="preserve"> </w:t>
            </w:r>
          </w:p>
          <w:p w14:paraId="26223B7F" w14:textId="7DB4E219" w:rsidR="00091FA3" w:rsidRPr="002047E0" w:rsidRDefault="00091FA3" w:rsidP="00480E5E">
            <w:pPr>
              <w:jc w:val="both"/>
              <w:rPr>
                <w:rFonts w:ascii="Tahoma" w:hAnsi="Tahoma" w:cs="Tahoma"/>
              </w:rPr>
            </w:pPr>
          </w:p>
        </w:tc>
      </w:tr>
      <w:tr w:rsidR="00091FA3" w:rsidRPr="002047E0" w14:paraId="64D98EB6" w14:textId="77777777">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B9F63DF" w14:textId="77777777" w:rsidR="00091FA3" w:rsidRPr="002047E0" w:rsidRDefault="00000000" w:rsidP="00480E5E">
            <w:pPr>
              <w:jc w:val="both"/>
              <w:rPr>
                <w:rFonts w:ascii="Tahoma" w:hAnsi="Tahoma" w:cs="Tahoma"/>
              </w:rPr>
            </w:pPr>
            <w:r w:rsidRPr="002047E0">
              <w:rPr>
                <w:rFonts w:ascii="Tahoma" w:hAnsi="Tahoma" w:cs="Tahoma"/>
                <w:b/>
                <w:bCs/>
              </w:rPr>
              <w:t>Enacted Pursuant to:</w:t>
            </w:r>
          </w:p>
        </w:tc>
        <w:tc>
          <w:tcPr>
            <w:tcW w:w="65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5A755B2E" w14:textId="77777777" w:rsidR="00C71E04" w:rsidRDefault="00000000" w:rsidP="00480E5E">
            <w:pPr>
              <w:jc w:val="both"/>
              <w:rPr>
                <w:rFonts w:ascii="Tahoma" w:hAnsi="Tahoma" w:cs="Tahoma"/>
              </w:rPr>
            </w:pPr>
            <w:r w:rsidRPr="002047E0">
              <w:rPr>
                <w:rFonts w:ascii="Tahoma" w:hAnsi="Tahoma" w:cs="Tahoma"/>
              </w:rPr>
              <w:t xml:space="preserve">Section </w:t>
            </w:r>
            <w:r w:rsidR="00C71E04">
              <w:rPr>
                <w:rFonts w:ascii="Tahoma" w:hAnsi="Tahoma" w:cs="Tahoma"/>
              </w:rPr>
              <w:t>1</w:t>
            </w:r>
            <w:r w:rsidRPr="002047E0">
              <w:rPr>
                <w:rFonts w:ascii="Tahoma" w:hAnsi="Tahoma" w:cs="Tahoma"/>
              </w:rPr>
              <w:t>2</w:t>
            </w:r>
            <w:r w:rsidR="00C71E04">
              <w:rPr>
                <w:rFonts w:ascii="Tahoma" w:hAnsi="Tahoma" w:cs="Tahoma"/>
              </w:rPr>
              <w:t>(1) (e) and Section 205 (1) of the Public Finance Management Act, 2012</w:t>
            </w:r>
          </w:p>
          <w:p w14:paraId="5CC74CC8" w14:textId="371FE89F" w:rsidR="00091FA3" w:rsidRPr="002047E0" w:rsidRDefault="00091FA3" w:rsidP="00480E5E">
            <w:pPr>
              <w:jc w:val="both"/>
              <w:rPr>
                <w:rFonts w:ascii="Tahoma" w:hAnsi="Tahoma" w:cs="Tahoma"/>
              </w:rPr>
            </w:pPr>
          </w:p>
        </w:tc>
      </w:tr>
      <w:tr w:rsidR="00091FA3" w:rsidRPr="002047E0" w14:paraId="3D9B5345" w14:textId="77777777">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944D834" w14:textId="77777777" w:rsidR="00091FA3" w:rsidRPr="002047E0" w:rsidRDefault="00000000" w:rsidP="00480E5E">
            <w:pPr>
              <w:jc w:val="both"/>
              <w:rPr>
                <w:rFonts w:ascii="Tahoma" w:hAnsi="Tahoma" w:cs="Tahoma"/>
              </w:rPr>
            </w:pPr>
            <w:r w:rsidRPr="002047E0">
              <w:rPr>
                <w:rFonts w:ascii="Tahoma" w:hAnsi="Tahoma" w:cs="Tahoma"/>
                <w:b/>
                <w:bCs/>
              </w:rPr>
              <w:t>Name of Ministry:</w:t>
            </w:r>
          </w:p>
        </w:tc>
        <w:tc>
          <w:tcPr>
            <w:tcW w:w="65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3126EE93" w14:textId="77777777" w:rsidR="00091FA3" w:rsidRPr="002047E0" w:rsidRDefault="00000000" w:rsidP="00480E5E">
            <w:pPr>
              <w:jc w:val="both"/>
              <w:rPr>
                <w:rFonts w:ascii="Tahoma" w:hAnsi="Tahoma" w:cs="Tahoma"/>
              </w:rPr>
            </w:pPr>
            <w:r w:rsidRPr="002047E0">
              <w:rPr>
                <w:rFonts w:ascii="Tahoma" w:hAnsi="Tahoma" w:cs="Tahoma"/>
              </w:rPr>
              <w:t>The National Treasury and Economic Planning</w:t>
            </w:r>
          </w:p>
        </w:tc>
      </w:tr>
      <w:tr w:rsidR="00091FA3" w:rsidRPr="002047E0" w14:paraId="07ABC511" w14:textId="77777777">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AD65E0E" w14:textId="77777777" w:rsidR="00091FA3" w:rsidRPr="002047E0" w:rsidRDefault="00000000" w:rsidP="00480E5E">
            <w:pPr>
              <w:jc w:val="both"/>
              <w:rPr>
                <w:rFonts w:ascii="Tahoma" w:hAnsi="Tahoma" w:cs="Tahoma"/>
              </w:rPr>
            </w:pPr>
            <w:r w:rsidRPr="002047E0">
              <w:rPr>
                <w:rFonts w:ascii="Tahoma" w:hAnsi="Tahoma" w:cs="Tahoma"/>
                <w:b/>
                <w:bCs/>
              </w:rPr>
              <w:t>Gazetted on:</w:t>
            </w:r>
          </w:p>
        </w:tc>
        <w:tc>
          <w:tcPr>
            <w:tcW w:w="65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5CE2E659" w14:textId="77777777" w:rsidR="00091FA3" w:rsidRPr="002047E0" w:rsidRDefault="00000000" w:rsidP="00480E5E">
            <w:pPr>
              <w:jc w:val="both"/>
              <w:rPr>
                <w:rFonts w:ascii="Tahoma" w:hAnsi="Tahoma" w:cs="Tahoma"/>
              </w:rPr>
            </w:pPr>
            <w:r w:rsidRPr="002047E0">
              <w:rPr>
                <w:rFonts w:ascii="Tahoma" w:hAnsi="Tahoma" w:cs="Tahoma"/>
              </w:rPr>
              <w:t>As approved by the Cabinet Secretary, National Treasury and Economic Planning, with the concurrence of the National Assembly</w:t>
            </w:r>
          </w:p>
        </w:tc>
      </w:tr>
      <w:tr w:rsidR="00091FA3" w:rsidRPr="002047E0" w14:paraId="26CB251E" w14:textId="77777777">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3B3E3C2" w14:textId="77777777" w:rsidR="00091FA3" w:rsidRPr="002047E0" w:rsidRDefault="00000000" w:rsidP="00480E5E">
            <w:pPr>
              <w:jc w:val="both"/>
              <w:rPr>
                <w:rFonts w:ascii="Tahoma" w:hAnsi="Tahoma" w:cs="Tahoma"/>
              </w:rPr>
            </w:pPr>
            <w:r w:rsidRPr="002047E0">
              <w:rPr>
                <w:rFonts w:ascii="Tahoma" w:hAnsi="Tahoma" w:cs="Tahoma"/>
                <w:b/>
                <w:bCs/>
              </w:rPr>
              <w:t>Tabled on:</w:t>
            </w:r>
          </w:p>
        </w:tc>
        <w:tc>
          <w:tcPr>
            <w:tcW w:w="656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0735675E" w14:textId="6E780E57" w:rsidR="00091FA3" w:rsidRPr="002047E0" w:rsidRDefault="00000000" w:rsidP="00480E5E">
            <w:pPr>
              <w:jc w:val="both"/>
              <w:rPr>
                <w:rFonts w:ascii="Tahoma" w:hAnsi="Tahoma" w:cs="Tahoma"/>
              </w:rPr>
            </w:pPr>
            <w:r w:rsidRPr="002047E0">
              <w:rPr>
                <w:rFonts w:ascii="Tahoma" w:hAnsi="Tahoma" w:cs="Tahoma"/>
              </w:rPr>
              <w:t>To be advised by the Clerk of the National Assembly</w:t>
            </w:r>
          </w:p>
        </w:tc>
      </w:tr>
    </w:tbl>
    <w:p w14:paraId="5A5BAA91" w14:textId="77777777" w:rsidR="00091FA3" w:rsidRPr="002047E0" w:rsidRDefault="00000000" w:rsidP="00F235BD">
      <w:pPr>
        <w:spacing w:before="360" w:after="120"/>
        <w:jc w:val="center"/>
        <w:rPr>
          <w:rFonts w:ascii="Tahoma" w:hAnsi="Tahoma" w:cs="Tahoma"/>
        </w:rPr>
      </w:pPr>
      <w:r w:rsidRPr="002047E0">
        <w:rPr>
          <w:rFonts w:ascii="Tahoma" w:hAnsi="Tahoma" w:cs="Tahoma"/>
          <w:b/>
          <w:bCs/>
        </w:rPr>
        <w:t>PART II</w:t>
      </w:r>
    </w:p>
    <w:p w14:paraId="09AB5F23" w14:textId="77777777" w:rsidR="00091FA3" w:rsidRPr="002047E0" w:rsidRDefault="00000000" w:rsidP="00480E5E">
      <w:pPr>
        <w:pStyle w:val="Heading1"/>
        <w:jc w:val="both"/>
        <w:rPr>
          <w:rFonts w:ascii="Tahoma" w:hAnsi="Tahoma" w:cs="Tahoma"/>
          <w:sz w:val="24"/>
          <w:szCs w:val="24"/>
        </w:rPr>
      </w:pPr>
      <w:r w:rsidRPr="002047E0">
        <w:rPr>
          <w:rFonts w:ascii="Tahoma" w:hAnsi="Tahoma" w:cs="Tahoma"/>
          <w:sz w:val="24"/>
          <w:szCs w:val="24"/>
        </w:rPr>
        <w:t>1.  Purpose of the Statutory Instrument</w:t>
      </w:r>
    </w:p>
    <w:p w14:paraId="4AEF21FD" w14:textId="0A86B16D" w:rsidR="00C71E04" w:rsidRDefault="00000000" w:rsidP="00480E5E">
      <w:pPr>
        <w:spacing w:after="120"/>
        <w:jc w:val="both"/>
        <w:rPr>
          <w:rFonts w:ascii="Tahoma" w:hAnsi="Tahoma" w:cs="Tahoma"/>
        </w:rPr>
      </w:pPr>
      <w:r w:rsidRPr="002047E0">
        <w:rPr>
          <w:rFonts w:ascii="Tahoma" w:hAnsi="Tahoma" w:cs="Tahoma"/>
        </w:rPr>
        <w:t>The purpose of this Statutory Instrument is to establish a</w:t>
      </w:r>
      <w:r w:rsidR="00C71E04">
        <w:rPr>
          <w:rFonts w:ascii="Tahoma" w:hAnsi="Tahoma" w:cs="Tahoma"/>
        </w:rPr>
        <w:t xml:space="preserve">nd operationalize the e-Citizen System as an official online platform to access government services.  The goal is to make services </w:t>
      </w:r>
      <w:r w:rsidR="00C71E04" w:rsidRPr="007E7F9A">
        <w:rPr>
          <w:rFonts w:ascii="Tahoma" w:hAnsi="Tahoma" w:cs="Tahoma"/>
          <w:b/>
          <w:bCs/>
        </w:rPr>
        <w:t>faster, cheaper, more transparent and accessible</w:t>
      </w:r>
      <w:r w:rsidR="00C71E04">
        <w:rPr>
          <w:rFonts w:ascii="Tahoma" w:hAnsi="Tahoma" w:cs="Tahoma"/>
        </w:rPr>
        <w:t xml:space="preserve"> to all citizens, e</w:t>
      </w:r>
      <w:r w:rsidR="007E7F9A">
        <w:rPr>
          <w:rFonts w:ascii="Tahoma" w:hAnsi="Tahoma" w:cs="Tahoma"/>
        </w:rPr>
        <w:t>s</w:t>
      </w:r>
      <w:r w:rsidR="00C71E04">
        <w:rPr>
          <w:rFonts w:ascii="Tahoma" w:hAnsi="Tahoma" w:cs="Tahoma"/>
        </w:rPr>
        <w:t>pec</w:t>
      </w:r>
      <w:r w:rsidR="007E7F9A">
        <w:rPr>
          <w:rFonts w:ascii="Tahoma" w:hAnsi="Tahoma" w:cs="Tahoma"/>
        </w:rPr>
        <w:t>i</w:t>
      </w:r>
      <w:r w:rsidR="00C71E04">
        <w:rPr>
          <w:rFonts w:ascii="Tahoma" w:hAnsi="Tahoma" w:cs="Tahoma"/>
        </w:rPr>
        <w:t>ally those at the grassroots level.</w:t>
      </w:r>
    </w:p>
    <w:p w14:paraId="0842598D" w14:textId="697F3A7E" w:rsidR="00C71E04" w:rsidRDefault="007E7F9A" w:rsidP="00480E5E">
      <w:pPr>
        <w:spacing w:after="120"/>
        <w:jc w:val="both"/>
        <w:rPr>
          <w:rFonts w:ascii="Tahoma" w:hAnsi="Tahoma" w:cs="Tahoma"/>
        </w:rPr>
      </w:pPr>
      <w:r>
        <w:rPr>
          <w:rFonts w:ascii="Tahoma" w:hAnsi="Tahoma" w:cs="Tahoma"/>
        </w:rPr>
        <w:t xml:space="preserve">Its benefits are quite significant for both citizens and the government and </w:t>
      </w:r>
      <w:proofErr w:type="gramStart"/>
      <w:r>
        <w:rPr>
          <w:rFonts w:ascii="Tahoma" w:hAnsi="Tahoma" w:cs="Tahoma"/>
        </w:rPr>
        <w:t>include:-</w:t>
      </w:r>
      <w:proofErr w:type="gramEnd"/>
    </w:p>
    <w:p w14:paraId="58440611" w14:textId="77777777" w:rsidR="007E7F9A" w:rsidRDefault="007E7F9A" w:rsidP="00A6621E">
      <w:pPr>
        <w:numPr>
          <w:ilvl w:val="0"/>
          <w:numId w:val="3"/>
        </w:numPr>
        <w:spacing w:line="276" w:lineRule="auto"/>
        <w:jc w:val="both"/>
        <w:rPr>
          <w:rFonts w:ascii="Arial Narrow" w:hAnsi="Arial Narrow" w:cs="Tahoma"/>
          <w:sz w:val="28"/>
          <w:szCs w:val="28"/>
        </w:rPr>
      </w:pPr>
      <w:r>
        <w:rPr>
          <w:rFonts w:ascii="Arial Narrow" w:hAnsi="Arial Narrow" w:cs="Tahoma"/>
          <w:sz w:val="28"/>
          <w:szCs w:val="28"/>
        </w:rPr>
        <w:t>Access to government services;</w:t>
      </w:r>
    </w:p>
    <w:p w14:paraId="44A9A5D9" w14:textId="77777777" w:rsidR="007E7F9A" w:rsidRDefault="007E7F9A" w:rsidP="00A6621E">
      <w:pPr>
        <w:numPr>
          <w:ilvl w:val="0"/>
          <w:numId w:val="3"/>
        </w:numPr>
        <w:spacing w:line="276" w:lineRule="auto"/>
        <w:jc w:val="both"/>
        <w:rPr>
          <w:rFonts w:ascii="Arial Narrow" w:hAnsi="Arial Narrow" w:cs="Tahoma"/>
          <w:sz w:val="28"/>
          <w:szCs w:val="28"/>
        </w:rPr>
      </w:pPr>
      <w:r>
        <w:rPr>
          <w:rFonts w:ascii="Arial Narrow" w:hAnsi="Arial Narrow" w:cs="Tahoma"/>
          <w:sz w:val="28"/>
          <w:szCs w:val="28"/>
        </w:rPr>
        <w:t>Convenience, time, and cost savings to citizens accessing government services;</w:t>
      </w:r>
    </w:p>
    <w:p w14:paraId="3B4C5059" w14:textId="77777777" w:rsidR="007E7F9A" w:rsidRDefault="007E7F9A" w:rsidP="00A6621E">
      <w:pPr>
        <w:numPr>
          <w:ilvl w:val="0"/>
          <w:numId w:val="3"/>
        </w:numPr>
        <w:spacing w:line="276" w:lineRule="auto"/>
        <w:jc w:val="both"/>
        <w:rPr>
          <w:rFonts w:ascii="Arial Narrow" w:hAnsi="Arial Narrow" w:cs="Tahoma"/>
          <w:sz w:val="28"/>
          <w:szCs w:val="28"/>
        </w:rPr>
      </w:pPr>
      <w:r>
        <w:rPr>
          <w:rFonts w:ascii="Arial Narrow" w:hAnsi="Arial Narrow" w:cs="Tahoma"/>
          <w:sz w:val="28"/>
          <w:szCs w:val="28"/>
        </w:rPr>
        <w:t>Reduces bureaucracy;</w:t>
      </w:r>
    </w:p>
    <w:p w14:paraId="79B329FD" w14:textId="77777777" w:rsidR="007E7F9A" w:rsidRDefault="007E7F9A" w:rsidP="00A6621E">
      <w:pPr>
        <w:numPr>
          <w:ilvl w:val="0"/>
          <w:numId w:val="3"/>
        </w:numPr>
        <w:spacing w:line="276" w:lineRule="auto"/>
        <w:jc w:val="both"/>
        <w:rPr>
          <w:rFonts w:ascii="Arial Narrow" w:hAnsi="Arial Narrow" w:cs="Tahoma"/>
          <w:sz w:val="28"/>
          <w:szCs w:val="28"/>
        </w:rPr>
      </w:pPr>
      <w:r>
        <w:rPr>
          <w:rFonts w:ascii="Arial Narrow" w:hAnsi="Arial Narrow" w:cs="Tahoma"/>
          <w:sz w:val="28"/>
          <w:szCs w:val="28"/>
        </w:rPr>
        <w:t>Improves transparency and accountability; and</w:t>
      </w:r>
    </w:p>
    <w:p w14:paraId="695ECFEF" w14:textId="77777777" w:rsidR="007E7F9A" w:rsidRDefault="007E7F9A" w:rsidP="00A6621E">
      <w:pPr>
        <w:numPr>
          <w:ilvl w:val="0"/>
          <w:numId w:val="3"/>
        </w:numPr>
        <w:spacing w:line="276" w:lineRule="auto"/>
        <w:jc w:val="both"/>
        <w:rPr>
          <w:rFonts w:ascii="Arial Narrow" w:hAnsi="Arial Narrow" w:cs="Tahoma"/>
          <w:sz w:val="28"/>
          <w:szCs w:val="28"/>
        </w:rPr>
      </w:pPr>
      <w:r>
        <w:rPr>
          <w:rFonts w:ascii="Arial Narrow" w:hAnsi="Arial Narrow" w:cs="Tahoma"/>
          <w:sz w:val="28"/>
          <w:szCs w:val="28"/>
        </w:rPr>
        <w:t>Supports economic growth by increasing government revenue and promoting the digital economy.</w:t>
      </w:r>
    </w:p>
    <w:p w14:paraId="62830AD9" w14:textId="77777777" w:rsidR="007E7F9A" w:rsidRDefault="007E7F9A" w:rsidP="00480E5E">
      <w:pPr>
        <w:spacing w:after="120"/>
        <w:jc w:val="both"/>
        <w:rPr>
          <w:rFonts w:ascii="Tahoma" w:hAnsi="Tahoma" w:cs="Tahoma"/>
        </w:rPr>
      </w:pPr>
    </w:p>
    <w:p w14:paraId="06CFFC1A" w14:textId="28A162C3" w:rsidR="00F57729" w:rsidRDefault="00000000" w:rsidP="007E7F9A">
      <w:pPr>
        <w:spacing w:after="120"/>
        <w:jc w:val="both"/>
        <w:rPr>
          <w:rFonts w:ascii="Tahoma" w:hAnsi="Tahoma" w:cs="Tahoma"/>
        </w:rPr>
      </w:pPr>
      <w:r w:rsidRPr="002047E0">
        <w:rPr>
          <w:rFonts w:ascii="Tahoma" w:hAnsi="Tahoma" w:cs="Tahoma"/>
        </w:rPr>
        <w:t xml:space="preserve"> </w:t>
      </w:r>
      <w:r w:rsidR="007E7F9A">
        <w:rPr>
          <w:rFonts w:ascii="Tahoma" w:hAnsi="Tahoma" w:cs="Tahoma"/>
        </w:rPr>
        <w:t>The system shall comprise: -</w:t>
      </w:r>
    </w:p>
    <w:p w14:paraId="51AEC252" w14:textId="2F8447FD" w:rsidR="007E7F9A" w:rsidRDefault="007E7F9A" w:rsidP="00A6621E">
      <w:pPr>
        <w:pStyle w:val="ListParagraph"/>
        <w:numPr>
          <w:ilvl w:val="0"/>
          <w:numId w:val="4"/>
        </w:numPr>
        <w:spacing w:after="120" w:line="276" w:lineRule="auto"/>
        <w:jc w:val="both"/>
        <w:rPr>
          <w:rFonts w:ascii="Tahoma" w:hAnsi="Tahoma" w:cs="Tahoma"/>
        </w:rPr>
      </w:pPr>
      <w:r>
        <w:rPr>
          <w:rFonts w:ascii="Tahoma" w:hAnsi="Tahoma" w:cs="Tahoma"/>
        </w:rPr>
        <w:t>an identity management platform</w:t>
      </w:r>
      <w:r w:rsidR="000167F2">
        <w:rPr>
          <w:rFonts w:ascii="Tahoma" w:hAnsi="Tahoma" w:cs="Tahoma"/>
        </w:rPr>
        <w:t>;</w:t>
      </w:r>
    </w:p>
    <w:p w14:paraId="1009B8EB" w14:textId="6B60F11E" w:rsidR="007E7F9A" w:rsidRDefault="007E7F9A" w:rsidP="00A6621E">
      <w:pPr>
        <w:pStyle w:val="ListParagraph"/>
        <w:numPr>
          <w:ilvl w:val="0"/>
          <w:numId w:val="4"/>
        </w:numPr>
        <w:spacing w:after="120" w:line="276" w:lineRule="auto"/>
        <w:jc w:val="both"/>
        <w:rPr>
          <w:rFonts w:ascii="Tahoma" w:hAnsi="Tahoma" w:cs="Tahoma"/>
        </w:rPr>
      </w:pPr>
      <w:r>
        <w:rPr>
          <w:rFonts w:ascii="Tahoma" w:hAnsi="Tahoma" w:cs="Tahoma"/>
        </w:rPr>
        <w:lastRenderedPageBreak/>
        <w:t>a payment aggregation and revenue management platform; and a</w:t>
      </w:r>
    </w:p>
    <w:p w14:paraId="34EF05A1" w14:textId="3CC30701" w:rsidR="007E7F9A" w:rsidRDefault="007E7F9A" w:rsidP="00A6621E">
      <w:pPr>
        <w:pStyle w:val="ListParagraph"/>
        <w:numPr>
          <w:ilvl w:val="0"/>
          <w:numId w:val="4"/>
        </w:numPr>
        <w:spacing w:after="120" w:line="276" w:lineRule="auto"/>
        <w:jc w:val="both"/>
        <w:rPr>
          <w:rFonts w:ascii="Tahoma" w:hAnsi="Tahoma" w:cs="Tahoma"/>
        </w:rPr>
      </w:pPr>
      <w:r>
        <w:rPr>
          <w:rFonts w:ascii="Tahoma" w:hAnsi="Tahoma" w:cs="Tahoma"/>
        </w:rPr>
        <w:t>interoperability and integration component to facilitate secure integration, cooperation, and data exchange with government citizen-facing entities for service delivery and financial management.</w:t>
      </w:r>
    </w:p>
    <w:p w14:paraId="3B056964" w14:textId="38A8C475" w:rsidR="007E7F9A" w:rsidRDefault="007E7F9A" w:rsidP="007E7F9A">
      <w:pPr>
        <w:spacing w:after="120"/>
        <w:jc w:val="both"/>
        <w:rPr>
          <w:rFonts w:ascii="Tahoma" w:hAnsi="Tahoma" w:cs="Tahoma"/>
        </w:rPr>
      </w:pPr>
      <w:r>
        <w:rPr>
          <w:rFonts w:ascii="Tahoma" w:hAnsi="Tahoma" w:cs="Tahoma"/>
        </w:rPr>
        <w:t xml:space="preserve">The System shall have the following </w:t>
      </w:r>
      <w:r w:rsidR="009F2A56">
        <w:rPr>
          <w:rFonts w:ascii="Tahoma" w:hAnsi="Tahoma" w:cs="Tahoma"/>
        </w:rPr>
        <w:t>capabilities: -</w:t>
      </w:r>
    </w:p>
    <w:p w14:paraId="1D0AC9BF" w14:textId="71B49FB6" w:rsidR="007E7F9A" w:rsidRDefault="009F2A56" w:rsidP="00A6621E">
      <w:pPr>
        <w:pStyle w:val="ListParagraph"/>
        <w:numPr>
          <w:ilvl w:val="0"/>
          <w:numId w:val="5"/>
        </w:numPr>
        <w:spacing w:after="120" w:line="276" w:lineRule="auto"/>
        <w:jc w:val="both"/>
        <w:rPr>
          <w:rFonts w:ascii="Tahoma" w:hAnsi="Tahoma" w:cs="Tahoma"/>
        </w:rPr>
      </w:pPr>
      <w:r>
        <w:rPr>
          <w:rFonts w:ascii="Tahoma" w:hAnsi="Tahoma" w:cs="Tahoma"/>
        </w:rPr>
        <w:t>create users for the System;</w:t>
      </w:r>
    </w:p>
    <w:p w14:paraId="7B33F64D" w14:textId="0B137E95" w:rsidR="009F2A56" w:rsidRDefault="009F2A56" w:rsidP="00A6621E">
      <w:pPr>
        <w:pStyle w:val="ListParagraph"/>
        <w:numPr>
          <w:ilvl w:val="0"/>
          <w:numId w:val="5"/>
        </w:numPr>
        <w:spacing w:after="120" w:line="276" w:lineRule="auto"/>
        <w:jc w:val="both"/>
        <w:rPr>
          <w:rFonts w:ascii="Tahoma" w:hAnsi="Tahoma" w:cs="Tahoma"/>
        </w:rPr>
      </w:pPr>
      <w:r>
        <w:rPr>
          <w:rFonts w:ascii="Tahoma" w:hAnsi="Tahoma" w:cs="Tahoma"/>
        </w:rPr>
        <w:t>onboard service providers for all government services;</w:t>
      </w:r>
    </w:p>
    <w:p w14:paraId="42A30053" w14:textId="5767F2A7" w:rsidR="009F2A56" w:rsidRDefault="009F2A56" w:rsidP="00A6621E">
      <w:pPr>
        <w:pStyle w:val="ListParagraph"/>
        <w:numPr>
          <w:ilvl w:val="0"/>
          <w:numId w:val="5"/>
        </w:numPr>
        <w:spacing w:after="120" w:line="276" w:lineRule="auto"/>
        <w:jc w:val="both"/>
        <w:rPr>
          <w:rFonts w:ascii="Tahoma" w:hAnsi="Tahoma" w:cs="Tahoma"/>
        </w:rPr>
      </w:pPr>
      <w:r>
        <w:rPr>
          <w:rFonts w:ascii="Tahoma" w:hAnsi="Tahoma" w:cs="Tahoma"/>
        </w:rPr>
        <w:t>onboard payment service providers;</w:t>
      </w:r>
    </w:p>
    <w:p w14:paraId="027B19A3" w14:textId="75689EEF" w:rsidR="009F2A56" w:rsidRDefault="009F2A56" w:rsidP="00A6621E">
      <w:pPr>
        <w:pStyle w:val="ListParagraph"/>
        <w:numPr>
          <w:ilvl w:val="0"/>
          <w:numId w:val="5"/>
        </w:numPr>
        <w:spacing w:after="120" w:line="276" w:lineRule="auto"/>
        <w:jc w:val="both"/>
        <w:rPr>
          <w:rFonts w:ascii="Tahoma" w:hAnsi="Tahoma" w:cs="Tahoma"/>
        </w:rPr>
      </w:pPr>
      <w:r>
        <w:rPr>
          <w:rFonts w:ascii="Tahoma" w:hAnsi="Tahoma" w:cs="Tahoma"/>
        </w:rPr>
        <w:t>provide for a unified identification and authentication system that enables users to access multiple services;</w:t>
      </w:r>
    </w:p>
    <w:p w14:paraId="1B5B1164" w14:textId="7B14D57F" w:rsidR="009F2A56"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support integration with national registries and identify verification systems for authentication and validation of users and entities;</w:t>
      </w:r>
    </w:p>
    <w:p w14:paraId="25750CC5" w14:textId="55FFBAE3" w:rsidR="00AC583B"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allow users to access services from various devices and interfaces;</w:t>
      </w:r>
    </w:p>
    <w:p w14:paraId="0A4D7992" w14:textId="4F273CAA" w:rsidR="00AC583B"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allow for the provision of premium services to delight our citizens;</w:t>
      </w:r>
    </w:p>
    <w:p w14:paraId="0C9B1E4E" w14:textId="6EC3FEFD" w:rsidR="00AC583B"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provide secure databases to store user data, service records, transaction histories, and redundancy systems;</w:t>
      </w:r>
    </w:p>
    <w:p w14:paraId="36CEB02B" w14:textId="1E82DA4D" w:rsidR="00AC583B"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provide users with approved payment channels and to make payments for services through this chosen channel;</w:t>
      </w:r>
    </w:p>
    <w:p w14:paraId="423ED9B9" w14:textId="529CE5FE" w:rsidR="00AC583B"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enable secure integration with systems operated by national and county government entities;</w:t>
      </w:r>
    </w:p>
    <w:p w14:paraId="1AF6FD68" w14:textId="47B29AE3" w:rsidR="00AC583B"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settle all revenue transactions to the respective government institutions, with agreed timelines; and</w:t>
      </w:r>
    </w:p>
    <w:p w14:paraId="7BB580E0" w14:textId="4842741A" w:rsidR="00AC583B" w:rsidRDefault="00AC583B" w:rsidP="00A6621E">
      <w:pPr>
        <w:pStyle w:val="ListParagraph"/>
        <w:numPr>
          <w:ilvl w:val="0"/>
          <w:numId w:val="5"/>
        </w:numPr>
        <w:spacing w:after="120" w:line="276" w:lineRule="auto"/>
        <w:jc w:val="both"/>
        <w:rPr>
          <w:rFonts w:ascii="Tahoma" w:hAnsi="Tahoma" w:cs="Tahoma"/>
        </w:rPr>
      </w:pPr>
      <w:r>
        <w:rPr>
          <w:rFonts w:ascii="Tahoma" w:hAnsi="Tahoma" w:cs="Tahoma"/>
        </w:rPr>
        <w:t>all national and county government entities to reconcile revenue transactions in line with the reporting and accounting standards.</w:t>
      </w:r>
    </w:p>
    <w:p w14:paraId="43780347" w14:textId="1769C6D2" w:rsidR="00AC583B" w:rsidRPr="00AC583B" w:rsidRDefault="00AC583B" w:rsidP="00AC583B">
      <w:pPr>
        <w:spacing w:after="120"/>
        <w:jc w:val="both"/>
        <w:rPr>
          <w:rFonts w:ascii="Tahoma" w:hAnsi="Tahoma" w:cs="Tahoma"/>
        </w:rPr>
      </w:pPr>
      <w:r>
        <w:rPr>
          <w:rFonts w:ascii="Tahoma" w:hAnsi="Tahoma" w:cs="Tahoma"/>
        </w:rPr>
        <w:t>The System shall be hosted, administered and maintained by the National Treasury.</w:t>
      </w:r>
    </w:p>
    <w:p w14:paraId="37CA969E" w14:textId="77777777" w:rsidR="00091FA3" w:rsidRPr="002047E0" w:rsidRDefault="00000000" w:rsidP="00480E5E">
      <w:pPr>
        <w:pStyle w:val="Heading1"/>
        <w:jc w:val="both"/>
        <w:rPr>
          <w:rFonts w:ascii="Tahoma" w:hAnsi="Tahoma" w:cs="Tahoma"/>
          <w:sz w:val="24"/>
          <w:szCs w:val="24"/>
        </w:rPr>
      </w:pPr>
      <w:r w:rsidRPr="002047E0">
        <w:rPr>
          <w:rFonts w:ascii="Tahoma" w:hAnsi="Tahoma" w:cs="Tahoma"/>
          <w:sz w:val="24"/>
          <w:szCs w:val="24"/>
        </w:rPr>
        <w:t>2.  Legislative Context</w:t>
      </w:r>
    </w:p>
    <w:p w14:paraId="4B21FDEA" w14:textId="77777777" w:rsidR="00492BF6" w:rsidRDefault="00000000" w:rsidP="00480E5E">
      <w:pPr>
        <w:spacing w:after="120"/>
        <w:jc w:val="both"/>
        <w:rPr>
          <w:rFonts w:ascii="Tahoma" w:hAnsi="Tahoma" w:cs="Tahoma"/>
        </w:rPr>
      </w:pPr>
      <w:r w:rsidRPr="002047E0">
        <w:rPr>
          <w:rFonts w:ascii="Tahoma" w:hAnsi="Tahoma" w:cs="Tahoma"/>
        </w:rPr>
        <w:t xml:space="preserve">Section 205 </w:t>
      </w:r>
      <w:r w:rsidR="001E6C61">
        <w:rPr>
          <w:rFonts w:ascii="Tahoma" w:hAnsi="Tahoma" w:cs="Tahoma"/>
        </w:rPr>
        <w:t xml:space="preserve">(1) </w:t>
      </w:r>
      <w:r w:rsidRPr="002047E0">
        <w:rPr>
          <w:rFonts w:ascii="Tahoma" w:hAnsi="Tahoma" w:cs="Tahoma"/>
        </w:rPr>
        <w:t xml:space="preserve">of the Public Finance Management Act </w:t>
      </w:r>
      <w:r w:rsidR="001E6C61">
        <w:rPr>
          <w:rFonts w:ascii="Tahoma" w:hAnsi="Tahoma" w:cs="Tahoma"/>
        </w:rPr>
        <w:t>2012 allows</w:t>
      </w:r>
      <w:r w:rsidRPr="002047E0">
        <w:rPr>
          <w:rFonts w:ascii="Tahoma" w:hAnsi="Tahoma" w:cs="Tahoma"/>
        </w:rPr>
        <w:t xml:space="preserve"> the Cabinet Secretary to make regulations </w:t>
      </w:r>
      <w:r w:rsidR="000167F2">
        <w:rPr>
          <w:rFonts w:ascii="Tahoma" w:hAnsi="Tahoma" w:cs="Tahoma"/>
        </w:rPr>
        <w:t>not inconsistent with the Act.  Section 12 (1) (e) of the Public Finance Management Act mandates the National Treasury to design and prescribe an efficient financial management s</w:t>
      </w:r>
      <w:r w:rsidR="00492BF6">
        <w:rPr>
          <w:rFonts w:ascii="Tahoma" w:hAnsi="Tahoma" w:cs="Tahoma"/>
        </w:rPr>
        <w:t>ystem for the national and county governments to ensure transparent financial reporting as contemplated by Article 226 of the Constitution.</w:t>
      </w:r>
    </w:p>
    <w:p w14:paraId="16B91777" w14:textId="77777777" w:rsidR="00A6621E" w:rsidRDefault="00A6621E" w:rsidP="00480E5E">
      <w:pPr>
        <w:spacing w:after="120"/>
        <w:jc w:val="both"/>
        <w:rPr>
          <w:rFonts w:ascii="Tahoma" w:hAnsi="Tahoma" w:cs="Tahoma"/>
        </w:rPr>
      </w:pPr>
    </w:p>
    <w:p w14:paraId="27581EEA" w14:textId="77777777" w:rsidR="00A6621E" w:rsidRDefault="00A6621E" w:rsidP="00480E5E">
      <w:pPr>
        <w:spacing w:after="120"/>
        <w:jc w:val="both"/>
        <w:rPr>
          <w:rFonts w:ascii="Tahoma" w:hAnsi="Tahoma" w:cs="Tahoma"/>
        </w:rPr>
      </w:pPr>
    </w:p>
    <w:p w14:paraId="3AE774FE" w14:textId="77777777" w:rsidR="00091FA3" w:rsidRPr="002047E0" w:rsidRDefault="00000000" w:rsidP="00480E5E">
      <w:pPr>
        <w:pStyle w:val="Heading1"/>
        <w:jc w:val="both"/>
        <w:rPr>
          <w:rFonts w:ascii="Tahoma" w:hAnsi="Tahoma" w:cs="Tahoma"/>
          <w:sz w:val="24"/>
          <w:szCs w:val="24"/>
        </w:rPr>
      </w:pPr>
      <w:r w:rsidRPr="002047E0">
        <w:rPr>
          <w:rFonts w:ascii="Tahoma" w:hAnsi="Tahoma" w:cs="Tahoma"/>
          <w:sz w:val="24"/>
          <w:szCs w:val="24"/>
        </w:rPr>
        <w:lastRenderedPageBreak/>
        <w:t>4.  Guidance</w:t>
      </w:r>
    </w:p>
    <w:p w14:paraId="6828F89C" w14:textId="4A2BFC2A" w:rsidR="007762FC" w:rsidRDefault="00000000" w:rsidP="007762FC">
      <w:pPr>
        <w:spacing w:after="120"/>
        <w:jc w:val="both"/>
        <w:rPr>
          <w:rFonts w:ascii="Tahoma" w:hAnsi="Tahoma" w:cs="Tahoma"/>
        </w:rPr>
      </w:pPr>
      <w:r w:rsidRPr="002047E0">
        <w:rPr>
          <w:rFonts w:ascii="Tahoma" w:hAnsi="Tahoma" w:cs="Tahoma"/>
        </w:rPr>
        <w:t>The National Treasury</w:t>
      </w:r>
      <w:r w:rsidR="007762FC">
        <w:rPr>
          <w:rFonts w:ascii="Tahoma" w:hAnsi="Tahoma" w:cs="Tahoma"/>
        </w:rPr>
        <w:t xml:space="preserve"> and Economic Planning shall sensitize the National Assembly and the general public on the objectives and benefits of e-Citizen.</w:t>
      </w:r>
    </w:p>
    <w:p w14:paraId="14C210D8" w14:textId="77777777" w:rsidR="00B04315" w:rsidRDefault="00B04315" w:rsidP="007762FC">
      <w:pPr>
        <w:spacing w:after="120"/>
        <w:jc w:val="both"/>
        <w:rPr>
          <w:rFonts w:ascii="Tahoma" w:hAnsi="Tahoma" w:cs="Tahoma"/>
        </w:rPr>
      </w:pPr>
    </w:p>
    <w:p w14:paraId="69B43A53" w14:textId="77777777" w:rsidR="00091FA3" w:rsidRPr="002047E0" w:rsidRDefault="00000000" w:rsidP="00480E5E">
      <w:pPr>
        <w:pStyle w:val="Heading1"/>
        <w:jc w:val="both"/>
        <w:rPr>
          <w:rFonts w:ascii="Tahoma" w:hAnsi="Tahoma" w:cs="Tahoma"/>
          <w:sz w:val="24"/>
          <w:szCs w:val="24"/>
        </w:rPr>
      </w:pPr>
      <w:r w:rsidRPr="002047E0">
        <w:rPr>
          <w:rFonts w:ascii="Tahoma" w:hAnsi="Tahoma" w:cs="Tahoma"/>
          <w:sz w:val="24"/>
          <w:szCs w:val="24"/>
        </w:rPr>
        <w:t>5.  Stakeholder Consultations</w:t>
      </w:r>
    </w:p>
    <w:p w14:paraId="14AC5543" w14:textId="04F9E81A" w:rsidR="00091FA3" w:rsidRDefault="007762FC" w:rsidP="00480E5E">
      <w:pPr>
        <w:spacing w:after="120"/>
        <w:jc w:val="both"/>
        <w:rPr>
          <w:rFonts w:ascii="Tahoma" w:hAnsi="Tahoma" w:cs="Tahoma"/>
        </w:rPr>
      </w:pPr>
      <w:r>
        <w:rPr>
          <w:rFonts w:ascii="Tahoma" w:hAnsi="Tahoma" w:cs="Tahoma"/>
        </w:rPr>
        <w:t>There will be targeted consultations with key stakeholders, and their input will be taken into account before finalizing these Regulations in accordance with Section 5 of the Statutory Instruments Act, 2014.</w:t>
      </w:r>
    </w:p>
    <w:p w14:paraId="311ECDE3" w14:textId="41E18BDC" w:rsidR="007762FC" w:rsidRPr="002047E0" w:rsidRDefault="007762FC" w:rsidP="00480E5E">
      <w:pPr>
        <w:spacing w:after="120"/>
        <w:jc w:val="both"/>
        <w:rPr>
          <w:rFonts w:ascii="Tahoma" w:hAnsi="Tahoma" w:cs="Tahoma"/>
        </w:rPr>
      </w:pPr>
      <w:r>
        <w:rPr>
          <w:rFonts w:ascii="Tahoma" w:hAnsi="Tahoma" w:cs="Tahoma"/>
        </w:rPr>
        <w:t xml:space="preserve">The mode of public participation includes inviting key stakeholders via an advertisement posted on the National website and published in the newspaper’s MyGov section.  Written submission on the Regulations should be sent to </w:t>
      </w:r>
      <w:hyperlink r:id="rId7" w:history="1">
        <w:r w:rsidRPr="007659F4">
          <w:rPr>
            <w:rStyle w:val="Hyperlink"/>
            <w:rFonts w:ascii="Tahoma" w:hAnsi="Tahoma" w:cs="Tahoma"/>
          </w:rPr>
          <w:t>pstreasury01@gmail.com</w:t>
        </w:r>
      </w:hyperlink>
      <w:r>
        <w:rPr>
          <w:rFonts w:ascii="Tahoma" w:hAnsi="Tahoma" w:cs="Tahoma"/>
        </w:rPr>
        <w:t xml:space="preserve"> and jon.wala@treasury.go.ke.</w:t>
      </w:r>
    </w:p>
    <w:p w14:paraId="324F98BF" w14:textId="77777777" w:rsidR="00091FA3" w:rsidRPr="002047E0" w:rsidRDefault="00000000" w:rsidP="00480E5E">
      <w:pPr>
        <w:pStyle w:val="Heading1"/>
        <w:jc w:val="both"/>
        <w:rPr>
          <w:rFonts w:ascii="Tahoma" w:hAnsi="Tahoma" w:cs="Tahoma"/>
          <w:sz w:val="24"/>
          <w:szCs w:val="24"/>
        </w:rPr>
      </w:pPr>
      <w:r w:rsidRPr="002047E0">
        <w:rPr>
          <w:rFonts w:ascii="Tahoma" w:hAnsi="Tahoma" w:cs="Tahoma"/>
          <w:sz w:val="24"/>
          <w:szCs w:val="24"/>
        </w:rPr>
        <w:t>7.  Review</w:t>
      </w:r>
    </w:p>
    <w:p w14:paraId="4D400AD4" w14:textId="20494E4E" w:rsidR="00091FA3" w:rsidRPr="002047E0" w:rsidRDefault="00963493" w:rsidP="00480E5E">
      <w:pPr>
        <w:spacing w:after="120"/>
        <w:jc w:val="both"/>
        <w:rPr>
          <w:rFonts w:ascii="Tahoma" w:hAnsi="Tahoma" w:cs="Tahoma"/>
        </w:rPr>
      </w:pPr>
      <w:r>
        <w:rPr>
          <w:rFonts w:ascii="Tahoma" w:hAnsi="Tahoma" w:cs="Tahoma"/>
        </w:rPr>
        <w:t>The National Treasury shall monitor the application of the Regulations.  This shall be done through quarterly and annual reports.</w:t>
      </w:r>
    </w:p>
    <w:p w14:paraId="2CEC3D42" w14:textId="77777777" w:rsidR="00091FA3" w:rsidRPr="002047E0" w:rsidRDefault="00000000" w:rsidP="00480E5E">
      <w:pPr>
        <w:pStyle w:val="Heading1"/>
        <w:jc w:val="both"/>
        <w:rPr>
          <w:rFonts w:ascii="Tahoma" w:hAnsi="Tahoma" w:cs="Tahoma"/>
          <w:sz w:val="24"/>
          <w:szCs w:val="24"/>
        </w:rPr>
      </w:pPr>
      <w:r w:rsidRPr="002047E0">
        <w:rPr>
          <w:rFonts w:ascii="Tahoma" w:hAnsi="Tahoma" w:cs="Tahoma"/>
          <w:sz w:val="24"/>
          <w:szCs w:val="24"/>
        </w:rPr>
        <w:t>8.  Contact</w:t>
      </w:r>
    </w:p>
    <w:p w14:paraId="0C00A500" w14:textId="77777777" w:rsidR="00963493" w:rsidRDefault="00000000" w:rsidP="00480E5E">
      <w:pPr>
        <w:spacing w:after="120"/>
        <w:jc w:val="both"/>
        <w:rPr>
          <w:rFonts w:ascii="Tahoma" w:hAnsi="Tahoma" w:cs="Tahoma"/>
        </w:rPr>
      </w:pPr>
      <w:r w:rsidRPr="002047E0">
        <w:rPr>
          <w:rFonts w:ascii="Tahoma" w:hAnsi="Tahoma" w:cs="Tahoma"/>
        </w:rPr>
        <w:t xml:space="preserve">The contact person </w:t>
      </w:r>
      <w:r w:rsidR="00963493">
        <w:rPr>
          <w:rFonts w:ascii="Tahoma" w:hAnsi="Tahoma" w:cs="Tahoma"/>
        </w:rPr>
        <w:t>shall be the Cabinet Secretary or the Principal Secretary of the National Treasury &amp; Economic Planning.</w:t>
      </w:r>
    </w:p>
    <w:p w14:paraId="53B4A193" w14:textId="77777777" w:rsidR="00963493" w:rsidRDefault="00963493" w:rsidP="00480E5E">
      <w:pPr>
        <w:spacing w:after="120"/>
        <w:jc w:val="both"/>
        <w:rPr>
          <w:rFonts w:ascii="Tahoma" w:hAnsi="Tahoma" w:cs="Tahoma"/>
        </w:rPr>
      </w:pPr>
    </w:p>
    <w:p w14:paraId="14AED8D8" w14:textId="77777777" w:rsidR="00B04315" w:rsidRDefault="00B04315" w:rsidP="00480E5E">
      <w:pPr>
        <w:spacing w:after="120"/>
        <w:jc w:val="both"/>
        <w:rPr>
          <w:rFonts w:ascii="Tahoma" w:hAnsi="Tahoma" w:cs="Tahoma"/>
        </w:rPr>
      </w:pPr>
    </w:p>
    <w:p w14:paraId="27FDC1C2" w14:textId="77777777" w:rsidR="00B04315" w:rsidRDefault="00B04315" w:rsidP="00480E5E">
      <w:pPr>
        <w:spacing w:after="120"/>
        <w:jc w:val="both"/>
        <w:rPr>
          <w:rFonts w:ascii="Tahoma" w:hAnsi="Tahoma" w:cs="Tahoma"/>
        </w:rPr>
      </w:pPr>
    </w:p>
    <w:p w14:paraId="04664D13" w14:textId="77777777" w:rsidR="00091FA3" w:rsidRPr="002047E0" w:rsidRDefault="00000000" w:rsidP="00150BE9">
      <w:pPr>
        <w:spacing w:before="480" w:after="120"/>
        <w:jc w:val="center"/>
        <w:rPr>
          <w:rFonts w:ascii="Tahoma" w:hAnsi="Tahoma" w:cs="Tahoma"/>
        </w:rPr>
      </w:pPr>
      <w:r w:rsidRPr="002047E0">
        <w:rPr>
          <w:rFonts w:ascii="Tahoma" w:hAnsi="Tahoma" w:cs="Tahoma"/>
        </w:rPr>
        <w:t>Made on ………………………………………………………………………………, 2026</w:t>
      </w:r>
    </w:p>
    <w:p w14:paraId="00A7C33A" w14:textId="77777777" w:rsidR="00150BE9" w:rsidRPr="002047E0" w:rsidRDefault="00150BE9" w:rsidP="00150BE9">
      <w:pPr>
        <w:spacing w:before="480" w:after="120"/>
        <w:jc w:val="center"/>
        <w:rPr>
          <w:rFonts w:ascii="Tahoma" w:hAnsi="Tahoma" w:cs="Tahoma"/>
        </w:rPr>
      </w:pPr>
    </w:p>
    <w:p w14:paraId="7A45FD57" w14:textId="77777777" w:rsidR="00150BE9" w:rsidRDefault="00150BE9" w:rsidP="00150BE9">
      <w:pPr>
        <w:spacing w:before="480" w:after="120"/>
        <w:jc w:val="center"/>
        <w:rPr>
          <w:rFonts w:ascii="Tahoma" w:hAnsi="Tahoma" w:cs="Tahoma"/>
        </w:rPr>
      </w:pPr>
    </w:p>
    <w:p w14:paraId="6B6C2441" w14:textId="77777777" w:rsidR="00B04315" w:rsidRPr="002047E0" w:rsidRDefault="00B04315" w:rsidP="00150BE9">
      <w:pPr>
        <w:spacing w:before="480" w:after="120"/>
        <w:jc w:val="center"/>
        <w:rPr>
          <w:rFonts w:ascii="Tahoma" w:hAnsi="Tahoma" w:cs="Tahoma"/>
        </w:rPr>
      </w:pPr>
    </w:p>
    <w:p w14:paraId="63A78E38" w14:textId="77777777" w:rsidR="00091FA3" w:rsidRPr="002047E0" w:rsidRDefault="00000000" w:rsidP="00150BE9">
      <w:pPr>
        <w:spacing w:before="480"/>
        <w:jc w:val="center"/>
        <w:rPr>
          <w:rFonts w:ascii="Tahoma" w:hAnsi="Tahoma" w:cs="Tahoma"/>
        </w:rPr>
      </w:pPr>
      <w:r w:rsidRPr="002047E0">
        <w:rPr>
          <w:rFonts w:ascii="Tahoma" w:hAnsi="Tahoma" w:cs="Tahoma"/>
          <w:b/>
          <w:bCs/>
        </w:rPr>
        <w:t>HON. FCPA JOHN MBADI NG’ONGO, EGH</w:t>
      </w:r>
    </w:p>
    <w:p w14:paraId="2E07DCA7" w14:textId="77777777" w:rsidR="00091FA3" w:rsidRPr="002047E0" w:rsidRDefault="00000000" w:rsidP="00150BE9">
      <w:pPr>
        <w:jc w:val="center"/>
        <w:rPr>
          <w:rFonts w:ascii="Tahoma" w:hAnsi="Tahoma" w:cs="Tahoma"/>
        </w:rPr>
      </w:pPr>
      <w:r w:rsidRPr="002047E0">
        <w:rPr>
          <w:rFonts w:ascii="Tahoma" w:hAnsi="Tahoma" w:cs="Tahoma"/>
          <w:i/>
          <w:iCs/>
        </w:rPr>
        <w:t>Cabinet Secretary for the National Treasury and Economic Planning</w:t>
      </w:r>
    </w:p>
    <w:sectPr w:rsidR="00091FA3" w:rsidRPr="002047E0" w:rsidSect="00F235BD">
      <w:pgSz w:w="12240" w:h="15840"/>
      <w:pgMar w:top="117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B82F" w14:textId="77777777" w:rsidR="006F20AF" w:rsidRDefault="006F20AF">
      <w:r>
        <w:separator/>
      </w:r>
    </w:p>
  </w:endnote>
  <w:endnote w:type="continuationSeparator" w:id="0">
    <w:p w14:paraId="48A8BDDF" w14:textId="77777777" w:rsidR="006F20AF" w:rsidRDefault="006F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9284" w14:textId="77777777" w:rsidR="006F20AF" w:rsidRDefault="006F20AF">
      <w:r>
        <w:separator/>
      </w:r>
    </w:p>
  </w:footnote>
  <w:footnote w:type="continuationSeparator" w:id="0">
    <w:p w14:paraId="4FD8D383" w14:textId="77777777" w:rsidR="006F20AF" w:rsidRDefault="006F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20D"/>
    <w:multiLevelType w:val="hybridMultilevel"/>
    <w:tmpl w:val="6EEA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74B3C"/>
    <w:multiLevelType w:val="hybridMultilevel"/>
    <w:tmpl w:val="222C623C"/>
    <w:lvl w:ilvl="0" w:tplc="3146A0B0">
      <w:start w:val="1"/>
      <w:numFmt w:val="bullet"/>
      <w:lvlText w:val="•"/>
      <w:lvlJc w:val="left"/>
      <w:pPr>
        <w:ind w:left="720" w:hanging="360"/>
      </w:pPr>
    </w:lvl>
    <w:lvl w:ilvl="1" w:tplc="01264CB0">
      <w:numFmt w:val="decimal"/>
      <w:lvlText w:val=""/>
      <w:lvlJc w:val="left"/>
    </w:lvl>
    <w:lvl w:ilvl="2" w:tplc="8F8800E8">
      <w:numFmt w:val="decimal"/>
      <w:lvlText w:val=""/>
      <w:lvlJc w:val="left"/>
    </w:lvl>
    <w:lvl w:ilvl="3" w:tplc="0E345BAC">
      <w:numFmt w:val="decimal"/>
      <w:lvlText w:val=""/>
      <w:lvlJc w:val="left"/>
    </w:lvl>
    <w:lvl w:ilvl="4" w:tplc="4C3C07CC">
      <w:numFmt w:val="decimal"/>
      <w:lvlText w:val=""/>
      <w:lvlJc w:val="left"/>
    </w:lvl>
    <w:lvl w:ilvl="5" w:tplc="7452EB8A">
      <w:numFmt w:val="decimal"/>
      <w:lvlText w:val=""/>
      <w:lvlJc w:val="left"/>
    </w:lvl>
    <w:lvl w:ilvl="6" w:tplc="9D043C7E">
      <w:numFmt w:val="decimal"/>
      <w:lvlText w:val=""/>
      <w:lvlJc w:val="left"/>
    </w:lvl>
    <w:lvl w:ilvl="7" w:tplc="253E281C">
      <w:numFmt w:val="decimal"/>
      <w:lvlText w:val=""/>
      <w:lvlJc w:val="left"/>
    </w:lvl>
    <w:lvl w:ilvl="8" w:tplc="4560EBB8">
      <w:numFmt w:val="decimal"/>
      <w:lvlText w:val=""/>
      <w:lvlJc w:val="left"/>
    </w:lvl>
  </w:abstractNum>
  <w:abstractNum w:abstractNumId="2" w15:restartNumberingAfterBreak="0">
    <w:nsid w:val="2EEC4D18"/>
    <w:multiLevelType w:val="hybridMultilevel"/>
    <w:tmpl w:val="9D4254EC"/>
    <w:lvl w:ilvl="0" w:tplc="63845992">
      <w:start w:val="1"/>
      <w:numFmt w:val="bullet"/>
      <w:lvlText w:val="●"/>
      <w:lvlJc w:val="left"/>
      <w:pPr>
        <w:ind w:left="720" w:hanging="360"/>
      </w:pPr>
    </w:lvl>
    <w:lvl w:ilvl="1" w:tplc="9344206C">
      <w:start w:val="1"/>
      <w:numFmt w:val="bullet"/>
      <w:lvlText w:val="○"/>
      <w:lvlJc w:val="left"/>
      <w:pPr>
        <w:ind w:left="1440" w:hanging="360"/>
      </w:pPr>
    </w:lvl>
    <w:lvl w:ilvl="2" w:tplc="32F68546">
      <w:start w:val="1"/>
      <w:numFmt w:val="bullet"/>
      <w:lvlText w:val="■"/>
      <w:lvlJc w:val="left"/>
      <w:pPr>
        <w:ind w:left="2160" w:hanging="360"/>
      </w:pPr>
    </w:lvl>
    <w:lvl w:ilvl="3" w:tplc="2F7C0652">
      <w:start w:val="1"/>
      <w:numFmt w:val="bullet"/>
      <w:lvlText w:val="●"/>
      <w:lvlJc w:val="left"/>
      <w:pPr>
        <w:ind w:left="2880" w:hanging="360"/>
      </w:pPr>
    </w:lvl>
    <w:lvl w:ilvl="4" w:tplc="C5D05312">
      <w:start w:val="1"/>
      <w:numFmt w:val="bullet"/>
      <w:lvlText w:val="○"/>
      <w:lvlJc w:val="left"/>
      <w:pPr>
        <w:ind w:left="3600" w:hanging="360"/>
      </w:pPr>
    </w:lvl>
    <w:lvl w:ilvl="5" w:tplc="750481A6">
      <w:start w:val="1"/>
      <w:numFmt w:val="bullet"/>
      <w:lvlText w:val="■"/>
      <w:lvlJc w:val="left"/>
      <w:pPr>
        <w:ind w:left="4320" w:hanging="360"/>
      </w:pPr>
    </w:lvl>
    <w:lvl w:ilvl="6" w:tplc="52C6072A">
      <w:start w:val="1"/>
      <w:numFmt w:val="bullet"/>
      <w:lvlText w:val="●"/>
      <w:lvlJc w:val="left"/>
      <w:pPr>
        <w:ind w:left="5040" w:hanging="360"/>
      </w:pPr>
    </w:lvl>
    <w:lvl w:ilvl="7" w:tplc="264814C8">
      <w:start w:val="1"/>
      <w:numFmt w:val="bullet"/>
      <w:lvlText w:val="●"/>
      <w:lvlJc w:val="left"/>
      <w:pPr>
        <w:ind w:left="5760" w:hanging="360"/>
      </w:pPr>
    </w:lvl>
    <w:lvl w:ilvl="8" w:tplc="B9A2F1E8">
      <w:start w:val="1"/>
      <w:numFmt w:val="bullet"/>
      <w:lvlText w:val="●"/>
      <w:lvlJc w:val="left"/>
      <w:pPr>
        <w:ind w:left="6480" w:hanging="360"/>
      </w:pPr>
    </w:lvl>
  </w:abstractNum>
  <w:abstractNum w:abstractNumId="3" w15:restartNumberingAfterBreak="0">
    <w:nsid w:val="3AEB03B1"/>
    <w:multiLevelType w:val="hybridMultilevel"/>
    <w:tmpl w:val="44AAB39C"/>
    <w:lvl w:ilvl="0" w:tplc="F2425A1E">
      <w:start w:val="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72953"/>
    <w:multiLevelType w:val="hybridMultilevel"/>
    <w:tmpl w:val="3E12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392344">
    <w:abstractNumId w:val="2"/>
    <w:lvlOverride w:ilvl="0">
      <w:startOverride w:val="1"/>
    </w:lvlOverride>
  </w:num>
  <w:num w:numId="2" w16cid:durableId="152920166">
    <w:abstractNumId w:val="1"/>
    <w:lvlOverride w:ilvl="0">
      <w:startOverride w:val="1"/>
    </w:lvlOverride>
  </w:num>
  <w:num w:numId="3" w16cid:durableId="1372264110">
    <w:abstractNumId w:val="3"/>
  </w:num>
  <w:num w:numId="4" w16cid:durableId="1152067075">
    <w:abstractNumId w:val="0"/>
  </w:num>
  <w:num w:numId="5" w16cid:durableId="179248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A3"/>
    <w:rsid w:val="000167F2"/>
    <w:rsid w:val="00091FA3"/>
    <w:rsid w:val="000B4B03"/>
    <w:rsid w:val="00150BE9"/>
    <w:rsid w:val="001E6C61"/>
    <w:rsid w:val="001E6F51"/>
    <w:rsid w:val="002047E0"/>
    <w:rsid w:val="002A681A"/>
    <w:rsid w:val="00372179"/>
    <w:rsid w:val="00393256"/>
    <w:rsid w:val="00480E5E"/>
    <w:rsid w:val="00492BF6"/>
    <w:rsid w:val="004A07F2"/>
    <w:rsid w:val="00517795"/>
    <w:rsid w:val="00616E75"/>
    <w:rsid w:val="00621A48"/>
    <w:rsid w:val="0064631E"/>
    <w:rsid w:val="006F20AF"/>
    <w:rsid w:val="007762FC"/>
    <w:rsid w:val="007C20A1"/>
    <w:rsid w:val="007D4016"/>
    <w:rsid w:val="007E7F9A"/>
    <w:rsid w:val="00884FDD"/>
    <w:rsid w:val="008E23BA"/>
    <w:rsid w:val="009539C5"/>
    <w:rsid w:val="00963493"/>
    <w:rsid w:val="009B54CA"/>
    <w:rsid w:val="009F2A56"/>
    <w:rsid w:val="00A6621E"/>
    <w:rsid w:val="00AC583B"/>
    <w:rsid w:val="00B04315"/>
    <w:rsid w:val="00C0131B"/>
    <w:rsid w:val="00C71E04"/>
    <w:rsid w:val="00D72081"/>
    <w:rsid w:val="00D87333"/>
    <w:rsid w:val="00EE0FFF"/>
    <w:rsid w:val="00F135B8"/>
    <w:rsid w:val="00F235BD"/>
    <w:rsid w:val="00F57729"/>
    <w:rsid w:val="00FA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1E1A"/>
  <w15:docId w15:val="{42B045DA-0A23-4627-BC6E-883B4347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A7ADF"/>
    <w:pPr>
      <w:tabs>
        <w:tab w:val="center" w:pos="4513"/>
        <w:tab w:val="right" w:pos="9026"/>
      </w:tabs>
    </w:pPr>
  </w:style>
  <w:style w:type="character" w:customStyle="1" w:styleId="HeaderChar">
    <w:name w:val="Header Char"/>
    <w:basedOn w:val="DefaultParagraphFont"/>
    <w:link w:val="Header"/>
    <w:uiPriority w:val="99"/>
    <w:rsid w:val="00FA7ADF"/>
  </w:style>
  <w:style w:type="paragraph" w:styleId="Footer">
    <w:name w:val="footer"/>
    <w:basedOn w:val="Normal"/>
    <w:link w:val="FooterChar"/>
    <w:uiPriority w:val="99"/>
    <w:unhideWhenUsed/>
    <w:rsid w:val="00FA7ADF"/>
    <w:pPr>
      <w:tabs>
        <w:tab w:val="center" w:pos="4513"/>
        <w:tab w:val="right" w:pos="9026"/>
      </w:tabs>
    </w:pPr>
  </w:style>
  <w:style w:type="character" w:customStyle="1" w:styleId="FooterChar">
    <w:name w:val="Footer Char"/>
    <w:basedOn w:val="DefaultParagraphFont"/>
    <w:link w:val="Footer"/>
    <w:uiPriority w:val="99"/>
    <w:rsid w:val="00FA7ADF"/>
  </w:style>
  <w:style w:type="character" w:styleId="UnresolvedMention">
    <w:name w:val="Unresolved Mention"/>
    <w:basedOn w:val="DefaultParagraphFont"/>
    <w:uiPriority w:val="99"/>
    <w:semiHidden/>
    <w:unhideWhenUsed/>
    <w:rsid w:val="00776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streasury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Admin</cp:lastModifiedBy>
  <cp:revision>3</cp:revision>
  <cp:lastPrinted>2026-05-04T16:12:00Z</cp:lastPrinted>
  <dcterms:created xsi:type="dcterms:W3CDTF">2026-05-04T15:57:00Z</dcterms:created>
  <dcterms:modified xsi:type="dcterms:W3CDTF">2026-05-04T16:13:00Z</dcterms:modified>
</cp:coreProperties>
</file>